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85C6" w14:textId="56ECB9CA" w:rsidR="00A27648" w:rsidRPr="00F50F03" w:rsidRDefault="00AA558E" w:rsidP="00D5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  <w:bCs/>
          <w:sz w:val="32"/>
          <w:szCs w:val="32"/>
        </w:rPr>
      </w:pPr>
      <w:r w:rsidRPr="00F50F03">
        <w:rPr>
          <w:b/>
          <w:bCs/>
          <w:sz w:val="32"/>
          <w:szCs w:val="32"/>
        </w:rPr>
        <w:t>CAHIER DES CHARGES</w:t>
      </w:r>
    </w:p>
    <w:p w14:paraId="52A05053" w14:textId="6B36671A" w:rsidR="00A27648" w:rsidRDefault="00A27648" w:rsidP="00D5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</w:p>
    <w:p w14:paraId="2CBEC99F" w14:textId="2D3D42A7" w:rsidR="00AA558E" w:rsidRPr="00A27648" w:rsidRDefault="00612B25" w:rsidP="00A27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  <w:bCs/>
          <w:sz w:val="28"/>
          <w:szCs w:val="28"/>
        </w:rPr>
      </w:pPr>
      <w:r w:rsidRPr="00D56A72">
        <w:rPr>
          <w:b/>
          <w:bCs/>
          <w:sz w:val="28"/>
          <w:szCs w:val="28"/>
        </w:rPr>
        <w:t>HABILITATION</w:t>
      </w:r>
      <w:r w:rsidR="00AA558E" w:rsidRPr="00D56A72">
        <w:rPr>
          <w:b/>
          <w:bCs/>
          <w:sz w:val="28"/>
          <w:szCs w:val="28"/>
        </w:rPr>
        <w:t xml:space="preserve"> DES ORGANISMES </w:t>
      </w:r>
      <w:r w:rsidRPr="00D56A72">
        <w:rPr>
          <w:b/>
          <w:bCs/>
          <w:sz w:val="28"/>
          <w:szCs w:val="28"/>
        </w:rPr>
        <w:t xml:space="preserve">POUR LA </w:t>
      </w:r>
      <w:r w:rsidR="00AA558E" w:rsidRPr="00D56A72">
        <w:rPr>
          <w:b/>
          <w:bCs/>
          <w:sz w:val="28"/>
          <w:szCs w:val="28"/>
        </w:rPr>
        <w:t>FORMATION</w:t>
      </w:r>
      <w:r w:rsidR="00A27648">
        <w:rPr>
          <w:b/>
          <w:bCs/>
          <w:sz w:val="28"/>
          <w:szCs w:val="28"/>
        </w:rPr>
        <w:br/>
      </w:r>
      <w:r w:rsidR="00AA558E" w:rsidRPr="00D56A72">
        <w:rPr>
          <w:b/>
          <w:bCs/>
          <w:sz w:val="28"/>
          <w:szCs w:val="28"/>
        </w:rPr>
        <w:t>ET ACCOMPAGNE</w:t>
      </w:r>
      <w:r w:rsidRPr="00D56A72">
        <w:rPr>
          <w:b/>
          <w:bCs/>
          <w:sz w:val="28"/>
          <w:szCs w:val="28"/>
        </w:rPr>
        <w:t>MENT</w:t>
      </w:r>
      <w:r w:rsidR="00AA558E" w:rsidRPr="00D56A72">
        <w:rPr>
          <w:b/>
          <w:bCs/>
          <w:sz w:val="28"/>
          <w:szCs w:val="28"/>
        </w:rPr>
        <w:t xml:space="preserve"> </w:t>
      </w:r>
      <w:r w:rsidRPr="00D56A72">
        <w:rPr>
          <w:b/>
          <w:bCs/>
          <w:sz w:val="28"/>
          <w:szCs w:val="28"/>
        </w:rPr>
        <w:t>D</w:t>
      </w:r>
      <w:r w:rsidR="00AA558E" w:rsidRPr="00D56A72">
        <w:rPr>
          <w:b/>
          <w:bCs/>
          <w:sz w:val="28"/>
          <w:szCs w:val="28"/>
        </w:rPr>
        <w:t>ES COLLABORATEURS</w:t>
      </w:r>
      <w:r w:rsidR="00A27648">
        <w:rPr>
          <w:b/>
          <w:bCs/>
          <w:sz w:val="28"/>
          <w:szCs w:val="28"/>
        </w:rPr>
        <w:br/>
      </w:r>
      <w:r w:rsidR="00AA558E" w:rsidRPr="00D56A72">
        <w:rPr>
          <w:b/>
          <w:bCs/>
          <w:sz w:val="28"/>
          <w:szCs w:val="28"/>
        </w:rPr>
        <w:t>DANS UN PARCOURS CQP</w:t>
      </w:r>
      <w:r w:rsidR="00A27648">
        <w:rPr>
          <w:b/>
          <w:bCs/>
          <w:sz w:val="28"/>
          <w:szCs w:val="28"/>
        </w:rPr>
        <w:br/>
      </w:r>
      <w:r w:rsidR="00F50F03">
        <w:rPr>
          <w:b/>
          <w:bCs/>
          <w:sz w:val="28"/>
          <w:szCs w:val="28"/>
        </w:rPr>
        <w:t xml:space="preserve">DE LA </w:t>
      </w:r>
      <w:r w:rsidR="00AA558E" w:rsidRPr="00D56A72">
        <w:rPr>
          <w:b/>
          <w:bCs/>
          <w:sz w:val="28"/>
          <w:szCs w:val="28"/>
        </w:rPr>
        <w:t>BRANCHE MUTUALIT</w:t>
      </w:r>
      <w:r w:rsidR="00A27648">
        <w:rPr>
          <w:b/>
          <w:bCs/>
          <w:sz w:val="28"/>
          <w:szCs w:val="28"/>
        </w:rPr>
        <w:t>E</w:t>
      </w:r>
    </w:p>
    <w:p w14:paraId="2E49B4C6" w14:textId="77777777" w:rsidR="00AA558E" w:rsidRPr="000603AA" w:rsidRDefault="00AA558E" w:rsidP="001E4155">
      <w:pPr>
        <w:jc w:val="both"/>
      </w:pPr>
      <w:r w:rsidRPr="000603AA">
        <w:t xml:space="preserve"> </w:t>
      </w:r>
    </w:p>
    <w:p w14:paraId="5D570A50" w14:textId="42BBB6AA" w:rsidR="001E4155" w:rsidRPr="000603AA" w:rsidRDefault="00AA558E" w:rsidP="001E4155">
      <w:pPr>
        <w:jc w:val="both"/>
      </w:pPr>
      <w:r w:rsidRPr="000603AA">
        <w:t>La Commission Paritaire Nationale de l’Emploi et de la Formation Professionnelle, en collaboration avec l’</w:t>
      </w:r>
      <w:proofErr w:type="spellStart"/>
      <w:r w:rsidRPr="000603AA">
        <w:t>O</w:t>
      </w:r>
      <w:r w:rsidR="003A0A19">
        <w:t>pco</w:t>
      </w:r>
      <w:proofErr w:type="spellEnd"/>
      <w:r w:rsidRPr="000603AA">
        <w:t xml:space="preserve"> de branche U</w:t>
      </w:r>
      <w:r w:rsidR="003A0A19">
        <w:t>niformation</w:t>
      </w:r>
      <w:r w:rsidRPr="000603AA">
        <w:t>, réalise une consultation dans l’objectif d</w:t>
      </w:r>
      <w:r w:rsidR="00612B25" w:rsidRPr="000603AA">
        <w:t>’habiliter</w:t>
      </w:r>
      <w:r w:rsidRPr="000603AA">
        <w:t xml:space="preserve">, sur la base </w:t>
      </w:r>
      <w:r w:rsidR="00A27648">
        <w:t>de ce</w:t>
      </w:r>
      <w:r w:rsidRPr="000603AA">
        <w:t xml:space="preserve"> cahier des charges, une liste d’organismes </w:t>
      </w:r>
      <w:r w:rsidR="00612B25" w:rsidRPr="000603AA">
        <w:t>pour</w:t>
      </w:r>
      <w:r w:rsidRPr="000603AA">
        <w:t xml:space="preserve"> accompagner les collaborateurs dans un Certificat de Qualification Professionnelle (CQP) accessible à l’issue de parcours de formation individualisés ou par la validation des acquis de l’expérience (VAE).  </w:t>
      </w:r>
    </w:p>
    <w:p w14:paraId="26641410" w14:textId="77777777" w:rsidR="001E4155" w:rsidRPr="000603AA" w:rsidRDefault="001E4155" w:rsidP="001E4155">
      <w:pPr>
        <w:jc w:val="both"/>
      </w:pPr>
    </w:p>
    <w:p w14:paraId="5FA6CF2D" w14:textId="365B82AE" w:rsidR="00AA558E" w:rsidRPr="000603AA" w:rsidRDefault="00AA558E" w:rsidP="001E4155">
      <w:pPr>
        <w:jc w:val="both"/>
      </w:pPr>
    </w:p>
    <w:p w14:paraId="1D66E7D0" w14:textId="77777777" w:rsidR="00AA558E" w:rsidRPr="00644EAB" w:rsidRDefault="00AA558E" w:rsidP="001E4155">
      <w:pPr>
        <w:jc w:val="both"/>
        <w:rPr>
          <w:b/>
          <w:bCs/>
          <w:color w:val="2F5496" w:themeColor="accent1" w:themeShade="BF"/>
          <w:sz w:val="28"/>
          <w:szCs w:val="28"/>
        </w:rPr>
      </w:pPr>
      <w:r w:rsidRPr="00644EAB">
        <w:rPr>
          <w:b/>
          <w:bCs/>
          <w:color w:val="2F5496" w:themeColor="accent1" w:themeShade="BF"/>
          <w:sz w:val="28"/>
          <w:szCs w:val="28"/>
        </w:rPr>
        <w:t xml:space="preserve">1. Contexte relatif aux CQP de la branche Mutualité </w:t>
      </w:r>
    </w:p>
    <w:p w14:paraId="5C5C60FE" w14:textId="13C869E6" w:rsidR="00AA558E" w:rsidRPr="00D56A72" w:rsidRDefault="00AA558E" w:rsidP="001E4155">
      <w:pPr>
        <w:jc w:val="both"/>
        <w:rPr>
          <w:color w:val="2F5496" w:themeColor="accent1" w:themeShade="BF"/>
        </w:rPr>
      </w:pPr>
      <w:r w:rsidRPr="00D56A72">
        <w:rPr>
          <w:color w:val="2F5496" w:themeColor="accent1" w:themeShade="BF"/>
        </w:rPr>
        <w:t xml:space="preserve">1.1 Démarche et objectifs de la certification </w:t>
      </w:r>
    </w:p>
    <w:p w14:paraId="5F01DFD7" w14:textId="77777777" w:rsidR="00AA558E" w:rsidRPr="000603AA" w:rsidRDefault="00AA558E" w:rsidP="001E4155">
      <w:pPr>
        <w:jc w:val="both"/>
      </w:pPr>
      <w:r w:rsidRPr="000603AA">
        <w:t xml:space="preserve">Le secteur de la Mutualité connaît depuis quelques années de profondes évolutions réglementaires, concurrentielles, technologiques et culturelles. Ces changements sont associés à des rapprochements entres mutuelles qui impactent les organisations de travail, les métiers et les compétences des collaborateurs.   </w:t>
      </w:r>
    </w:p>
    <w:p w14:paraId="4576B0F8" w14:textId="3ED7AE9B" w:rsidR="00AA558E" w:rsidRPr="000603AA" w:rsidRDefault="00612B25" w:rsidP="001E4155">
      <w:pPr>
        <w:jc w:val="both"/>
      </w:pPr>
      <w:r w:rsidRPr="000603AA">
        <w:t>Engagée depuis 2004, la politique de certification menée par la branche Mutualité a permis à de nombreux salariés de voir leurs compétences et leur expérience professionnelle reconnues et valorisées. Face aux évolutions du contexte et des mutuelles, la CPNEFP de la branche a procédé à l’examen et à l’adaptation des contenus des référentiels des différents CQP pour faire évoluer les référentiels des certificats existants, les organiser en blocs de compétences et leur attribuer un niveau de qualification.</w:t>
      </w:r>
    </w:p>
    <w:p w14:paraId="756FF461" w14:textId="77777777" w:rsidR="00AA558E" w:rsidRPr="000603AA" w:rsidRDefault="00AA558E" w:rsidP="001E4155">
      <w:pPr>
        <w:jc w:val="both"/>
      </w:pPr>
      <w:r w:rsidRPr="000603AA">
        <w:t xml:space="preserve">Ce dispositif a pour objectifs de : </w:t>
      </w:r>
    </w:p>
    <w:p w14:paraId="03FF7BAB" w14:textId="50E5E0D7" w:rsidR="00612B25" w:rsidRPr="000603AA" w:rsidRDefault="00AA558E" w:rsidP="00612B25">
      <w:pPr>
        <w:pStyle w:val="Paragraphedeliste"/>
        <w:numPr>
          <w:ilvl w:val="0"/>
          <w:numId w:val="1"/>
        </w:numPr>
        <w:jc w:val="both"/>
      </w:pPr>
      <w:r w:rsidRPr="000603AA">
        <w:t>Développer et reconnaître les compétences des salariés pour répondre aux besoins des mutuelles face aux changements en cour</w:t>
      </w:r>
      <w:r w:rsidR="00BB74D1">
        <w:t>s</w:t>
      </w:r>
      <w:r w:rsidRPr="000603AA">
        <w:t xml:space="preserve"> ; </w:t>
      </w:r>
    </w:p>
    <w:p w14:paraId="2CDA0F80" w14:textId="27F08332" w:rsidR="00612B25" w:rsidRPr="000603AA" w:rsidRDefault="00AA558E" w:rsidP="00612B25">
      <w:pPr>
        <w:pStyle w:val="Paragraphedeliste"/>
        <w:numPr>
          <w:ilvl w:val="0"/>
          <w:numId w:val="1"/>
        </w:numPr>
        <w:jc w:val="both"/>
      </w:pPr>
      <w:r w:rsidRPr="000603AA">
        <w:t xml:space="preserve">Faciliter la mobilité professionnelle, les passerelles entre métiers ; </w:t>
      </w:r>
    </w:p>
    <w:p w14:paraId="71CA01DE" w14:textId="37F6B88A" w:rsidR="00AA558E" w:rsidRPr="000603AA" w:rsidRDefault="00AA558E" w:rsidP="001E4155">
      <w:pPr>
        <w:pStyle w:val="Paragraphedeliste"/>
        <w:numPr>
          <w:ilvl w:val="0"/>
          <w:numId w:val="1"/>
        </w:numPr>
        <w:jc w:val="both"/>
      </w:pPr>
      <w:r w:rsidRPr="000603AA">
        <w:t xml:space="preserve">Former les nouveaux salariés. </w:t>
      </w:r>
    </w:p>
    <w:p w14:paraId="3D8C959B" w14:textId="67FEF0AD" w:rsidR="00A76E8C" w:rsidRDefault="00612B25" w:rsidP="00A76E8C">
      <w:pPr>
        <w:jc w:val="both"/>
      </w:pPr>
      <w:r w:rsidRPr="000603AA">
        <w:t xml:space="preserve">A ce jour, </w:t>
      </w:r>
      <w:r w:rsidR="00A76E8C">
        <w:t>l’ensemble des</w:t>
      </w:r>
      <w:r w:rsidRPr="000603AA">
        <w:t xml:space="preserve"> certificats de qualification professionnelle </w:t>
      </w:r>
      <w:r w:rsidR="00A76E8C">
        <w:t xml:space="preserve">de la branche </w:t>
      </w:r>
      <w:r w:rsidRPr="000603AA">
        <w:t>ont fait l’objet d’une rénovation</w:t>
      </w:r>
      <w:r w:rsidR="00A76E8C">
        <w:t xml:space="preserve">. Le présent cahier des charges s’attache à habiliter des organismes de formation sur les CQP suivants : </w:t>
      </w:r>
    </w:p>
    <w:p w14:paraId="4383B21A" w14:textId="18C517ED" w:rsidR="00612B25" w:rsidRPr="000603AA" w:rsidRDefault="00A76E8C" w:rsidP="00A76E8C">
      <w:pPr>
        <w:pStyle w:val="Paragraphedeliste"/>
        <w:numPr>
          <w:ilvl w:val="0"/>
          <w:numId w:val="1"/>
        </w:numPr>
        <w:jc w:val="both"/>
      </w:pPr>
      <w:r w:rsidRPr="00A76E8C">
        <w:t>Gestionnaire parcours adhérent/client</w:t>
      </w:r>
    </w:p>
    <w:p w14:paraId="445344F0" w14:textId="77777777" w:rsidR="00A76E8C" w:rsidRDefault="00A76E8C" w:rsidP="00A76E8C">
      <w:pPr>
        <w:pStyle w:val="Paragraphedeliste"/>
        <w:numPr>
          <w:ilvl w:val="0"/>
          <w:numId w:val="1"/>
        </w:numPr>
        <w:jc w:val="both"/>
      </w:pPr>
      <w:r w:rsidRPr="00A76E8C">
        <w:t xml:space="preserve">Téléconseiller </w:t>
      </w:r>
    </w:p>
    <w:p w14:paraId="4244B50B" w14:textId="77777777" w:rsidR="00A76E8C" w:rsidRDefault="00A76E8C" w:rsidP="00A76E8C">
      <w:pPr>
        <w:pStyle w:val="Paragraphedeliste"/>
        <w:numPr>
          <w:ilvl w:val="0"/>
          <w:numId w:val="1"/>
        </w:numPr>
        <w:jc w:val="both"/>
      </w:pPr>
      <w:r w:rsidRPr="00A76E8C">
        <w:t xml:space="preserve">Chargé de relation à distance </w:t>
      </w:r>
    </w:p>
    <w:p w14:paraId="687D740E" w14:textId="77777777" w:rsidR="000603AA" w:rsidRPr="000603AA" w:rsidRDefault="000603AA" w:rsidP="00A76E8C">
      <w:pPr>
        <w:jc w:val="both"/>
      </w:pPr>
    </w:p>
    <w:p w14:paraId="082B3F2B" w14:textId="3A9B5D0F" w:rsidR="00AA558E" w:rsidRPr="000603AA" w:rsidRDefault="00AA558E" w:rsidP="001E4155">
      <w:pPr>
        <w:jc w:val="both"/>
      </w:pPr>
      <w:r w:rsidRPr="000603AA">
        <w:t>Reconnue au sein de la branche professionnelle, chaque certification se compose d’un référentiel d</w:t>
      </w:r>
      <w:r w:rsidR="007C62E3" w:rsidRPr="000603AA">
        <w:t>’activités et d</w:t>
      </w:r>
      <w:r w:rsidRPr="000603AA">
        <w:t xml:space="preserve">e compétences organisé </w:t>
      </w:r>
      <w:r w:rsidR="00612B25" w:rsidRPr="000603AA">
        <w:t>en blocs de compétences</w:t>
      </w:r>
      <w:r w:rsidR="007C62E3" w:rsidRPr="000603AA">
        <w:t xml:space="preserve"> </w:t>
      </w:r>
      <w:r w:rsidRPr="000603AA">
        <w:t>devant être maîtrisés par les salariés exerçant le métier visé, ainsi que d’un référentiel de certification précisant le</w:t>
      </w:r>
      <w:r w:rsidR="007C62E3" w:rsidRPr="000603AA">
        <w:t>s critères et modalités d’évaluation</w:t>
      </w:r>
      <w:r w:rsidRPr="000603AA">
        <w:t xml:space="preserve"> </w:t>
      </w:r>
      <w:r w:rsidR="007C62E3" w:rsidRPr="000603AA">
        <w:t>de chaque bloc.</w:t>
      </w:r>
      <w:r w:rsidRPr="000603AA">
        <w:t xml:space="preserve"> </w:t>
      </w:r>
    </w:p>
    <w:p w14:paraId="7E2308FE" w14:textId="754DE7D4" w:rsidR="00AA558E" w:rsidRPr="000603AA" w:rsidRDefault="007C62E3" w:rsidP="001E4155">
      <w:pPr>
        <w:jc w:val="both"/>
      </w:pPr>
      <w:r w:rsidRPr="000603AA">
        <w:t>Les référentiels sont annexés au présent cahier des charges.</w:t>
      </w:r>
    </w:p>
    <w:p w14:paraId="6F445457" w14:textId="179C76E3" w:rsidR="00AA558E" w:rsidRPr="000603AA" w:rsidRDefault="00AA558E" w:rsidP="001E4155">
      <w:pPr>
        <w:jc w:val="both"/>
      </w:pPr>
    </w:p>
    <w:p w14:paraId="46E6E678" w14:textId="7B5C0212" w:rsidR="00AA558E" w:rsidRPr="00D56A72" w:rsidRDefault="00AA558E" w:rsidP="001E4155">
      <w:pPr>
        <w:jc w:val="both"/>
        <w:rPr>
          <w:color w:val="2F5496" w:themeColor="accent1" w:themeShade="BF"/>
        </w:rPr>
      </w:pPr>
      <w:r w:rsidRPr="00D56A72">
        <w:rPr>
          <w:color w:val="2F5496" w:themeColor="accent1" w:themeShade="BF"/>
        </w:rPr>
        <w:t xml:space="preserve">1.2 Instances de la certification </w:t>
      </w:r>
    </w:p>
    <w:p w14:paraId="4397A70F" w14:textId="2B99D60B" w:rsidR="00AA558E" w:rsidRPr="000603AA" w:rsidRDefault="00AA558E" w:rsidP="001E4155">
      <w:pPr>
        <w:jc w:val="both"/>
      </w:pPr>
      <w:r w:rsidRPr="000603AA">
        <w:t>La Commission Paritaire Nationale de l’Emploi et de la Formation Professionnelle (CPNEFP) de la branche Mutualité est l’instance politique de certification</w:t>
      </w:r>
      <w:r w:rsidR="007C62E3" w:rsidRPr="000603AA">
        <w:t xml:space="preserve"> et</w:t>
      </w:r>
      <w:r w:rsidR="000603AA" w:rsidRPr="000603AA">
        <w:t xml:space="preserve"> délègue la compétence de</w:t>
      </w:r>
      <w:r w:rsidR="007C62E3" w:rsidRPr="000603AA">
        <w:t xml:space="preserve"> délivre</w:t>
      </w:r>
      <w:r w:rsidR="000603AA" w:rsidRPr="000603AA">
        <w:t xml:space="preserve">r les CQP à un jury ou une commission paritaire de branche selon les cas. </w:t>
      </w:r>
    </w:p>
    <w:p w14:paraId="2BF0CFC1" w14:textId="2DAD4C0F" w:rsidR="00AA558E" w:rsidRPr="000603AA" w:rsidRDefault="00AA558E" w:rsidP="001E4155">
      <w:pPr>
        <w:jc w:val="both"/>
      </w:pPr>
      <w:r w:rsidRPr="000603AA">
        <w:t>L</w:t>
      </w:r>
      <w:r w:rsidR="007C62E3" w:rsidRPr="000603AA">
        <w:t>e secrétariat de la CPNEFP</w:t>
      </w:r>
      <w:r w:rsidR="000603AA" w:rsidRPr="000603AA">
        <w:t xml:space="preserve"> </w:t>
      </w:r>
      <w:r w:rsidRPr="000603AA">
        <w:t xml:space="preserve">est l’interlocuteur technique pour la mise en œuvre des Certificats de Qualification Professionnelle de la branche.  </w:t>
      </w:r>
    </w:p>
    <w:p w14:paraId="505EE8C4" w14:textId="47984D7F" w:rsidR="00AA558E" w:rsidRPr="000603AA" w:rsidRDefault="00A27648" w:rsidP="001E4155">
      <w:pPr>
        <w:jc w:val="both"/>
      </w:pPr>
      <w:r>
        <w:t>L</w:t>
      </w:r>
      <w:r w:rsidR="007C62E3" w:rsidRPr="000603AA">
        <w:t>es modalités d’évaluation finale sont distinctes selon que le candidat vise l’obtention d’un ou plusieurs blocs de compétences ou de l’intégralité du CQP.</w:t>
      </w:r>
    </w:p>
    <w:p w14:paraId="39977784" w14:textId="49D74149" w:rsidR="008C2ADE" w:rsidRPr="000603AA" w:rsidRDefault="008C2ADE" w:rsidP="001E4155">
      <w:pPr>
        <w:jc w:val="both"/>
      </w:pPr>
      <w:r w:rsidRPr="000603AA">
        <w:t>Lorsque le candidat présente l’intégralité des blocs constituant le CQP : le</w:t>
      </w:r>
      <w:r w:rsidR="00D56A72">
        <w:t xml:space="preserve"> </w:t>
      </w:r>
      <w:r w:rsidR="00AA558E" w:rsidRPr="000603AA">
        <w:t xml:space="preserve">jury paritaire </w:t>
      </w:r>
      <w:r w:rsidRPr="000603AA">
        <w:t xml:space="preserve">est </w:t>
      </w:r>
      <w:r w:rsidR="00AA558E" w:rsidRPr="000603AA">
        <w:t xml:space="preserve">composé de </w:t>
      </w:r>
      <w:r w:rsidRPr="000603AA">
        <w:t>2</w:t>
      </w:r>
      <w:r w:rsidR="00AA558E" w:rsidRPr="000603AA">
        <w:t xml:space="preserve"> personnes : </w:t>
      </w:r>
      <w:r w:rsidRPr="000603AA">
        <w:t>un</w:t>
      </w:r>
      <w:r w:rsidR="00AA558E" w:rsidRPr="000603AA">
        <w:t xml:space="preserve"> représentant de l’</w:t>
      </w:r>
      <w:r w:rsidRPr="000603AA">
        <w:t>AN</w:t>
      </w:r>
      <w:r w:rsidR="00AA558E" w:rsidRPr="000603AA">
        <w:t>EM</w:t>
      </w:r>
      <w:r w:rsidR="00D56A72">
        <w:t xml:space="preserve"> </w:t>
      </w:r>
      <w:r w:rsidR="00AA558E" w:rsidRPr="000603AA">
        <w:t xml:space="preserve">et </w:t>
      </w:r>
      <w:r w:rsidRPr="000603AA">
        <w:t>un</w:t>
      </w:r>
      <w:r w:rsidR="00AA558E" w:rsidRPr="000603AA">
        <w:t xml:space="preserve"> représentant des</w:t>
      </w:r>
      <w:r w:rsidRPr="000603AA">
        <w:t xml:space="preserve"> organisations</w:t>
      </w:r>
      <w:r w:rsidR="00AA558E" w:rsidRPr="000603AA">
        <w:t xml:space="preserve"> syndica</w:t>
      </w:r>
      <w:r w:rsidRPr="000603AA">
        <w:t>le</w:t>
      </w:r>
      <w:r w:rsidR="00AA558E" w:rsidRPr="000603AA">
        <w:t>s de salariés. Il est présidé par un de ses membres, désigné en début de séance</w:t>
      </w:r>
      <w:r w:rsidRPr="000603AA">
        <w:t xml:space="preserve"> et reçoit le candidat pour un entretien oral</w:t>
      </w:r>
      <w:r w:rsidR="00AA558E" w:rsidRPr="000603AA">
        <w:t xml:space="preserve">. </w:t>
      </w:r>
      <w:r w:rsidRPr="000603AA">
        <w:t>Le jury est accompagné d’un représentant du secrétariat de la CPNEFP</w:t>
      </w:r>
      <w:r w:rsidR="0035205A" w:rsidRPr="000603AA">
        <w:t xml:space="preserve"> en qualité d’observateur</w:t>
      </w:r>
      <w:r w:rsidRPr="000603AA">
        <w:t>.</w:t>
      </w:r>
    </w:p>
    <w:p w14:paraId="54D20232" w14:textId="76B0D011" w:rsidR="00AA558E" w:rsidRDefault="008C2ADE" w:rsidP="001E4155">
      <w:pPr>
        <w:jc w:val="both"/>
      </w:pPr>
      <w:r w:rsidRPr="000603AA">
        <w:t xml:space="preserve">Lorsque le candidat présente un ou plusieurs blocs de compétences constituant une partie du CQP : la commission paritaire est composée de 4 personnes : </w:t>
      </w:r>
      <w:r w:rsidR="0035205A" w:rsidRPr="000603AA">
        <w:t>deux</w:t>
      </w:r>
      <w:r w:rsidRPr="000603AA">
        <w:t xml:space="preserve"> représentant</w:t>
      </w:r>
      <w:r w:rsidR="0035205A" w:rsidRPr="000603AA">
        <w:t>s</w:t>
      </w:r>
      <w:r w:rsidRPr="000603AA">
        <w:t xml:space="preserve"> de l’ANEM et </w:t>
      </w:r>
      <w:r w:rsidR="0035205A" w:rsidRPr="000603AA">
        <w:t>deux</w:t>
      </w:r>
      <w:r w:rsidRPr="000603AA">
        <w:t xml:space="preserve"> représentant</w:t>
      </w:r>
      <w:r w:rsidR="0035205A" w:rsidRPr="000603AA">
        <w:t>s</w:t>
      </w:r>
      <w:r w:rsidRPr="000603AA">
        <w:t xml:space="preserve"> des organisations syndicales de salariés. Elle est présidée par un de ses membres, désigné en début de séance et procède à l’examen des dossiers. La commission est accompagnée d’un représentant du secrétariat de la CPNEFP</w:t>
      </w:r>
      <w:r w:rsidR="0035205A" w:rsidRPr="000603AA">
        <w:t xml:space="preserve"> en qualité d’observateur</w:t>
      </w:r>
      <w:r w:rsidRPr="000603AA">
        <w:t>.</w:t>
      </w:r>
    </w:p>
    <w:p w14:paraId="6C235913" w14:textId="77777777" w:rsidR="00D56A72" w:rsidRPr="000603AA" w:rsidRDefault="00D56A72" w:rsidP="001E4155">
      <w:pPr>
        <w:jc w:val="both"/>
      </w:pPr>
    </w:p>
    <w:p w14:paraId="17AB2B2F" w14:textId="641465A8" w:rsidR="00AA558E" w:rsidRPr="00644EAB" w:rsidRDefault="00AA558E" w:rsidP="001E4155">
      <w:pPr>
        <w:jc w:val="both"/>
        <w:rPr>
          <w:b/>
          <w:bCs/>
          <w:color w:val="2F5496" w:themeColor="accent1" w:themeShade="BF"/>
          <w:sz w:val="28"/>
          <w:szCs w:val="28"/>
        </w:rPr>
      </w:pPr>
      <w:r w:rsidRPr="00644EAB">
        <w:rPr>
          <w:b/>
          <w:bCs/>
          <w:color w:val="2F5496" w:themeColor="accent1" w:themeShade="BF"/>
          <w:sz w:val="28"/>
          <w:szCs w:val="28"/>
        </w:rPr>
        <w:t xml:space="preserve">2. Réponse à la consultation </w:t>
      </w:r>
    </w:p>
    <w:p w14:paraId="7D8CCD12" w14:textId="77777777" w:rsidR="00A27648" w:rsidRPr="007327B0" w:rsidRDefault="00A27648" w:rsidP="001E4155">
      <w:pPr>
        <w:jc w:val="both"/>
        <w:rPr>
          <w:b/>
          <w:bCs/>
          <w:color w:val="2F5496" w:themeColor="accent1" w:themeShade="BF"/>
          <w:sz w:val="24"/>
          <w:szCs w:val="24"/>
        </w:rPr>
      </w:pPr>
    </w:p>
    <w:p w14:paraId="2991A1C0" w14:textId="2F1D2EF9" w:rsidR="00AA558E" w:rsidRPr="00D56A72" w:rsidRDefault="00AA558E" w:rsidP="001E4155">
      <w:pPr>
        <w:jc w:val="both"/>
        <w:rPr>
          <w:color w:val="2F5496" w:themeColor="accent1" w:themeShade="BF"/>
        </w:rPr>
      </w:pPr>
      <w:r w:rsidRPr="00D56A72">
        <w:rPr>
          <w:color w:val="2F5496" w:themeColor="accent1" w:themeShade="BF"/>
        </w:rPr>
        <w:t xml:space="preserve">2.1 Documentation préalable  </w:t>
      </w:r>
    </w:p>
    <w:p w14:paraId="6BDA2C7E" w14:textId="31094B02" w:rsidR="00AA558E" w:rsidRPr="000603AA" w:rsidRDefault="00AA558E" w:rsidP="001E4155">
      <w:pPr>
        <w:jc w:val="both"/>
      </w:pPr>
      <w:r w:rsidRPr="000603AA">
        <w:t xml:space="preserve">Afin de vous familiariser avec le dispositif, de prendre connaissance des référentiels de compétences des CQP de la branche Mutualité et de formaliser votre proposition, vous retrouverez l’ensemble des </w:t>
      </w:r>
      <w:r w:rsidR="001316A1" w:rsidRPr="000603AA">
        <w:t xml:space="preserve">documents afférents au dispositif en annexe au présent cahier des charges. </w:t>
      </w:r>
    </w:p>
    <w:p w14:paraId="3FB43F6A" w14:textId="4FC2F348" w:rsidR="00A27648" w:rsidRDefault="00AA558E" w:rsidP="001E4155">
      <w:pPr>
        <w:jc w:val="both"/>
      </w:pPr>
      <w:r w:rsidRPr="000603AA">
        <w:t>Chaque certification se compose d’un référentiel d</w:t>
      </w:r>
      <w:r w:rsidR="00C37891" w:rsidRPr="000603AA">
        <w:t>’activités et de</w:t>
      </w:r>
      <w:r w:rsidR="000603AA" w:rsidRPr="000603AA">
        <w:t xml:space="preserve"> </w:t>
      </w:r>
      <w:r w:rsidRPr="000603AA">
        <w:t xml:space="preserve">compétences organisé autour des </w:t>
      </w:r>
      <w:r w:rsidR="00C37891" w:rsidRPr="000603AA">
        <w:t>blocs</w:t>
      </w:r>
      <w:r w:rsidRPr="000603AA">
        <w:t xml:space="preserve"> de compétences devant être maîtrisés par les salariés exerçant le métier visé.  </w:t>
      </w:r>
    </w:p>
    <w:p w14:paraId="04FBE5C1" w14:textId="3F489D19" w:rsidR="00A27648" w:rsidRDefault="00A27648" w:rsidP="001E4155">
      <w:pPr>
        <w:jc w:val="both"/>
      </w:pPr>
      <w:r>
        <w:br w:type="page"/>
      </w:r>
    </w:p>
    <w:p w14:paraId="4DE480CB" w14:textId="49193908" w:rsidR="00AA558E" w:rsidRPr="00D56A72" w:rsidRDefault="00AA558E" w:rsidP="001E4155">
      <w:pPr>
        <w:jc w:val="both"/>
        <w:rPr>
          <w:color w:val="2F5496" w:themeColor="accent1" w:themeShade="BF"/>
        </w:rPr>
      </w:pPr>
      <w:r w:rsidRPr="00D56A72">
        <w:rPr>
          <w:color w:val="2F5496" w:themeColor="accent1" w:themeShade="BF"/>
        </w:rPr>
        <w:lastRenderedPageBreak/>
        <w:t xml:space="preserve">2.2 Dispositions applicables à l’ensemble des organismes candidats </w:t>
      </w:r>
    </w:p>
    <w:p w14:paraId="408C1978" w14:textId="1086E735" w:rsidR="00AA558E" w:rsidRPr="00D56A72" w:rsidRDefault="00AA558E" w:rsidP="00A27648">
      <w:pPr>
        <w:ind w:firstLine="708"/>
        <w:jc w:val="both"/>
        <w:rPr>
          <w:i/>
          <w:iCs/>
          <w:color w:val="2F5496" w:themeColor="accent1" w:themeShade="BF"/>
        </w:rPr>
      </w:pPr>
      <w:r w:rsidRPr="00D56A72">
        <w:rPr>
          <w:i/>
          <w:iCs/>
          <w:color w:val="2F5496" w:themeColor="accent1" w:themeShade="BF"/>
        </w:rPr>
        <w:t xml:space="preserve">2.2.1 Présentation générales de l’organisme  </w:t>
      </w:r>
    </w:p>
    <w:p w14:paraId="59B9F06D" w14:textId="53A5A412" w:rsidR="00AA558E" w:rsidRPr="000603AA" w:rsidRDefault="00AA558E" w:rsidP="00A27648">
      <w:pPr>
        <w:ind w:left="708"/>
        <w:jc w:val="both"/>
      </w:pPr>
      <w:r w:rsidRPr="000603AA">
        <w:t xml:space="preserve">Les organismes intéressés par la proposition </w:t>
      </w:r>
      <w:r w:rsidR="00C37891" w:rsidRPr="000603AA">
        <w:t>d’habilitation</w:t>
      </w:r>
      <w:r w:rsidRPr="000603AA">
        <w:t xml:space="preserve"> accordée par les partenaires sociaux devront justifier des éléments suivant</w:t>
      </w:r>
      <w:r w:rsidR="00A27648">
        <w:t>s</w:t>
      </w:r>
      <w:r w:rsidRPr="000603AA">
        <w:t xml:space="preserve"> :  </w:t>
      </w:r>
    </w:p>
    <w:p w14:paraId="34105522" w14:textId="22C0C073" w:rsidR="00D56A72" w:rsidRDefault="00AA558E" w:rsidP="00D56A72">
      <w:pPr>
        <w:pStyle w:val="Paragraphedeliste"/>
        <w:numPr>
          <w:ilvl w:val="0"/>
          <w:numId w:val="6"/>
        </w:numPr>
        <w:jc w:val="both"/>
      </w:pPr>
      <w:r w:rsidRPr="000603AA">
        <w:t>Présentation générale de l’organisme (N° SIRET, statut, localisation, durée d’existence)</w:t>
      </w:r>
      <w:r w:rsidR="00D56A72">
        <w:t> ;</w:t>
      </w:r>
    </w:p>
    <w:p w14:paraId="7521F2FE" w14:textId="0B00E887" w:rsidR="00D56A72" w:rsidRDefault="00AA558E" w:rsidP="00D56A72">
      <w:pPr>
        <w:pStyle w:val="Paragraphedeliste"/>
        <w:numPr>
          <w:ilvl w:val="0"/>
          <w:numId w:val="6"/>
        </w:numPr>
        <w:jc w:val="both"/>
      </w:pPr>
      <w:r w:rsidRPr="000603AA">
        <w:t xml:space="preserve">Compétences et expériences en rapport </w:t>
      </w:r>
      <w:r w:rsidR="00BB74D1">
        <w:t xml:space="preserve">avec </w:t>
      </w:r>
      <w:r w:rsidRPr="000603AA">
        <w:t>les CQP de la branche Mutualité (</w:t>
      </w:r>
      <w:r w:rsidR="006E2EEC" w:rsidRPr="000603AA">
        <w:t xml:space="preserve">avoir déjà accompagné des candidats sur les </w:t>
      </w:r>
      <w:r w:rsidR="00D56A72">
        <w:t>CQP</w:t>
      </w:r>
      <w:r w:rsidR="006E2EEC" w:rsidRPr="000603AA">
        <w:t xml:space="preserve"> de la branche lors de la précédente habilitation, </w:t>
      </w:r>
      <w:r w:rsidRPr="000603AA">
        <w:t xml:space="preserve">avoir mené des activités comparables et faire référence à des accompagnements du même type : commerciale, relation-client, santé, …) ; </w:t>
      </w:r>
    </w:p>
    <w:p w14:paraId="0C6E500B" w14:textId="77777777" w:rsidR="00D56A72" w:rsidRDefault="00AA558E" w:rsidP="00D56A72">
      <w:pPr>
        <w:pStyle w:val="Paragraphedeliste"/>
        <w:numPr>
          <w:ilvl w:val="0"/>
          <w:numId w:val="6"/>
        </w:numPr>
        <w:jc w:val="both"/>
      </w:pPr>
      <w:r w:rsidRPr="000603AA">
        <w:t xml:space="preserve">Connaissance de l’environnement mutualiste ; </w:t>
      </w:r>
    </w:p>
    <w:p w14:paraId="44746E26" w14:textId="77777777" w:rsidR="00D56A72" w:rsidRDefault="00AA558E" w:rsidP="00D56A72">
      <w:pPr>
        <w:pStyle w:val="Paragraphedeliste"/>
        <w:numPr>
          <w:ilvl w:val="0"/>
          <w:numId w:val="6"/>
        </w:numPr>
        <w:jc w:val="both"/>
      </w:pPr>
      <w:r w:rsidRPr="000603AA">
        <w:t xml:space="preserve">Nombre d’accompagnateurs positionnés sur le dispositif CQP en précisant s’ils sont salariés ou occasionnels (présentation du CV de chaque formateur mobilisé, statut et lien juridique avec l’organisme) ; </w:t>
      </w:r>
    </w:p>
    <w:p w14:paraId="14B3A848" w14:textId="2D2A2259" w:rsidR="00AA558E" w:rsidRPr="000603AA" w:rsidRDefault="00AA558E" w:rsidP="00D56A72">
      <w:pPr>
        <w:pStyle w:val="Paragraphedeliste"/>
        <w:numPr>
          <w:ilvl w:val="0"/>
          <w:numId w:val="6"/>
        </w:numPr>
        <w:jc w:val="both"/>
      </w:pPr>
      <w:r w:rsidRPr="000603AA">
        <w:t xml:space="preserve">Présence territoriale ou antennes régionales afin d’accompagner au plus près les mutuelles, sur l’ensemble du territoire national. </w:t>
      </w:r>
    </w:p>
    <w:p w14:paraId="4B4B97FD" w14:textId="77777777" w:rsidR="00AA558E" w:rsidRPr="000603AA" w:rsidRDefault="00AA558E" w:rsidP="001E4155">
      <w:pPr>
        <w:jc w:val="both"/>
      </w:pPr>
      <w:r w:rsidRPr="000603AA">
        <w:t xml:space="preserve"> </w:t>
      </w:r>
    </w:p>
    <w:p w14:paraId="1D0A6A49" w14:textId="704D2FD4" w:rsidR="00AA558E" w:rsidRPr="00D56A72" w:rsidRDefault="00AA558E" w:rsidP="00644EAB">
      <w:pPr>
        <w:ind w:left="360" w:firstLine="360"/>
        <w:jc w:val="both"/>
        <w:rPr>
          <w:i/>
          <w:iCs/>
          <w:color w:val="2F5496" w:themeColor="accent1" w:themeShade="BF"/>
        </w:rPr>
      </w:pPr>
      <w:r w:rsidRPr="00D56A72">
        <w:rPr>
          <w:i/>
          <w:iCs/>
          <w:color w:val="2F5496" w:themeColor="accent1" w:themeShade="BF"/>
        </w:rPr>
        <w:t xml:space="preserve">2.1.2 Obligations règlementaires </w:t>
      </w:r>
    </w:p>
    <w:p w14:paraId="08EEB35D" w14:textId="1494392F" w:rsidR="00AA558E" w:rsidRPr="000603AA" w:rsidRDefault="00AA558E" w:rsidP="00A27648">
      <w:pPr>
        <w:ind w:left="360"/>
        <w:jc w:val="both"/>
      </w:pPr>
      <w:r w:rsidRPr="000603AA">
        <w:t xml:space="preserve">L’organisme de formation est en capacité de fournir, à tout moment : </w:t>
      </w:r>
    </w:p>
    <w:p w14:paraId="1E4815B1" w14:textId="716E8CC8" w:rsidR="00D56A72" w:rsidRDefault="00AA558E" w:rsidP="00D56A72">
      <w:pPr>
        <w:pStyle w:val="Paragraphedeliste"/>
        <w:numPr>
          <w:ilvl w:val="0"/>
          <w:numId w:val="7"/>
        </w:numPr>
        <w:jc w:val="both"/>
      </w:pPr>
      <w:r w:rsidRPr="000603AA">
        <w:t>Son numéro de déclaration d’activité en cours de validité (Article L6351-1 du Code du Travail)</w:t>
      </w:r>
    </w:p>
    <w:p w14:paraId="4863AC0F" w14:textId="21DFB5A4" w:rsidR="00AA558E" w:rsidRPr="000603AA" w:rsidRDefault="00AA558E" w:rsidP="00D56A72">
      <w:pPr>
        <w:pStyle w:val="Paragraphedeliste"/>
        <w:numPr>
          <w:ilvl w:val="0"/>
          <w:numId w:val="7"/>
        </w:numPr>
        <w:jc w:val="both"/>
      </w:pPr>
      <w:r w:rsidRPr="000603AA">
        <w:t xml:space="preserve">Les justificatifs du versement de ses contributions sociales, fiscales et conventionnelles. </w:t>
      </w:r>
    </w:p>
    <w:p w14:paraId="5D73DAD3" w14:textId="391BBEAE" w:rsidR="006E2EEC" w:rsidRPr="000603AA" w:rsidRDefault="00AA558E" w:rsidP="00A27648">
      <w:pPr>
        <w:ind w:left="360"/>
        <w:jc w:val="both"/>
      </w:pPr>
      <w:r w:rsidRPr="000603AA">
        <w:t xml:space="preserve">L’organisme de formation respecte la </w:t>
      </w:r>
      <w:r w:rsidR="000603AA" w:rsidRPr="000603AA">
        <w:t>réglementation :</w:t>
      </w:r>
      <w:r w:rsidRPr="000603AA">
        <w:t xml:space="preserve"> </w:t>
      </w:r>
    </w:p>
    <w:p w14:paraId="6E75BAAC" w14:textId="77777777" w:rsidR="006E2EEC" w:rsidRPr="00A27648" w:rsidRDefault="006E2EEC" w:rsidP="00A2764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27648">
        <w:rPr>
          <w:rFonts w:cstheme="minorHAnsi"/>
        </w:rPr>
        <w:t>De la circulaire DGEFP n° 2006/35 du 14 novembre 2006 définissant l’action de formation,</w:t>
      </w:r>
    </w:p>
    <w:p w14:paraId="35875BFC" w14:textId="77777777" w:rsidR="006E2EEC" w:rsidRPr="00A27648" w:rsidRDefault="006E2EEC" w:rsidP="00A2764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27648">
        <w:rPr>
          <w:rFonts w:cstheme="minorHAnsi"/>
        </w:rPr>
        <w:t>De la circulaire DGEFP n° 2011/26 du 15 novembre 2011 relative aux droits et obligations des prestataires de formation,</w:t>
      </w:r>
    </w:p>
    <w:p w14:paraId="24E0A3FF" w14:textId="77777777" w:rsidR="006E2EEC" w:rsidRPr="00A27648" w:rsidRDefault="006E2EEC" w:rsidP="00A2764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27648">
        <w:rPr>
          <w:rFonts w:cstheme="minorHAnsi"/>
        </w:rPr>
        <w:t>Des dispositions actuellement en vigueur dans le Code du Travail,</w:t>
      </w:r>
    </w:p>
    <w:p w14:paraId="5900321F" w14:textId="77777777" w:rsidR="006E2EEC" w:rsidRPr="00A27648" w:rsidRDefault="006E2EEC" w:rsidP="00A2764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27648">
        <w:rPr>
          <w:rFonts w:cstheme="minorHAnsi"/>
        </w:rPr>
        <w:t>Du décret du 30 juin 2015 relatif à la mise en œuvre du contrôle Qualité des actions de formation. De plus la loi du 5 septembre 2018 a créé une obligation de certification pour les dispensateurs de formation souhaitant bénéficier des fonds de la formation professionnelle. Les organismes certificateurs pourront délivrer la certification requise au 1</w:t>
      </w:r>
      <w:r w:rsidRPr="00A27648">
        <w:rPr>
          <w:rFonts w:cstheme="minorHAnsi"/>
          <w:vertAlign w:val="superscript"/>
        </w:rPr>
        <w:t>er</w:t>
      </w:r>
      <w:r w:rsidRPr="00A27648">
        <w:rPr>
          <w:rFonts w:cstheme="minorHAnsi"/>
        </w:rPr>
        <w:t xml:space="preserve"> janvier 2022 (initialement prévue au 1</w:t>
      </w:r>
      <w:r w:rsidRPr="00A27648">
        <w:rPr>
          <w:rFonts w:cstheme="minorHAnsi"/>
          <w:vertAlign w:val="superscript"/>
        </w:rPr>
        <w:t>er</w:t>
      </w:r>
      <w:r w:rsidRPr="00A27648">
        <w:rPr>
          <w:rFonts w:cstheme="minorHAnsi"/>
        </w:rPr>
        <w:t xml:space="preserve"> janvier 2021). Echéance qui a été reportée, selon une ordonnance prise le 1</w:t>
      </w:r>
      <w:r w:rsidRPr="00A27648">
        <w:rPr>
          <w:rFonts w:cstheme="minorHAnsi"/>
          <w:vertAlign w:val="superscript"/>
        </w:rPr>
        <w:t>er</w:t>
      </w:r>
      <w:r w:rsidRPr="00A27648">
        <w:rPr>
          <w:rFonts w:cstheme="minorHAnsi"/>
        </w:rPr>
        <w:t xml:space="preserve"> avril dernier, dans le cadre de la loi d’urgence sanitaire pour faire face à l’épidémie de Covid-19.</w:t>
      </w:r>
    </w:p>
    <w:p w14:paraId="778FA9D9" w14:textId="77777777" w:rsidR="006E2EEC" w:rsidRPr="00A27648" w:rsidRDefault="006E2EEC" w:rsidP="00A2764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27648">
        <w:rPr>
          <w:rFonts w:cstheme="minorHAnsi"/>
        </w:rPr>
        <w:t>De l’obligation de remise d’un certificat de réalisation à l’issue de la formation.</w:t>
      </w:r>
    </w:p>
    <w:p w14:paraId="18CA0ECA" w14:textId="4E74FB38" w:rsidR="00AA558E" w:rsidRPr="000603AA" w:rsidRDefault="00AA558E" w:rsidP="001E4155">
      <w:pPr>
        <w:jc w:val="both"/>
      </w:pPr>
    </w:p>
    <w:p w14:paraId="71A0080E" w14:textId="236A7A2B" w:rsidR="00AA558E" w:rsidRPr="00D56A72" w:rsidRDefault="00AA558E" w:rsidP="00644EAB">
      <w:pPr>
        <w:ind w:left="708"/>
        <w:jc w:val="both"/>
        <w:rPr>
          <w:i/>
          <w:iCs/>
          <w:color w:val="2F5496" w:themeColor="accent1" w:themeShade="BF"/>
        </w:rPr>
      </w:pPr>
      <w:r w:rsidRPr="00D56A72">
        <w:rPr>
          <w:i/>
          <w:iCs/>
          <w:color w:val="2F5496" w:themeColor="accent1" w:themeShade="BF"/>
        </w:rPr>
        <w:t xml:space="preserve">2.1.3 Qualité des actions de formation </w:t>
      </w:r>
    </w:p>
    <w:p w14:paraId="0FDE82A3" w14:textId="548EA4B4" w:rsidR="00347390" w:rsidRPr="000603AA" w:rsidRDefault="00347390" w:rsidP="00A276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0603AA">
        <w:rPr>
          <w:rFonts w:ascii="Calibri" w:hAnsi="Calibri" w:cs="Calibri"/>
        </w:rPr>
        <w:t>Pour être prise en compte dans le cadre de la présente consultation, toute réponse devra émaner d’un organisme de formation qui, à la date d’ouverture des plis :</w:t>
      </w:r>
    </w:p>
    <w:p w14:paraId="6646537F" w14:textId="77777777" w:rsidR="00347390" w:rsidRPr="000603AA" w:rsidRDefault="00347390" w:rsidP="0034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FE1664" w14:textId="77777777" w:rsidR="00347390" w:rsidRPr="00A27648" w:rsidRDefault="00347390" w:rsidP="00A2764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27648">
        <w:rPr>
          <w:rFonts w:ascii="Calibri" w:hAnsi="Calibri" w:cs="Calibri"/>
        </w:rPr>
        <w:t xml:space="preserve">aura finalisé sa déclaration dans la base de données </w:t>
      </w:r>
      <w:proofErr w:type="spellStart"/>
      <w:r w:rsidRPr="00A27648">
        <w:rPr>
          <w:rFonts w:ascii="Calibri" w:hAnsi="Calibri" w:cs="Calibri"/>
          <w:b/>
          <w:bCs/>
        </w:rPr>
        <w:t>Datadock</w:t>
      </w:r>
      <w:proofErr w:type="spellEnd"/>
      <w:r w:rsidRPr="00A27648">
        <w:rPr>
          <w:rFonts w:ascii="Calibri" w:hAnsi="Calibri" w:cs="Calibri"/>
          <w:b/>
          <w:bCs/>
        </w:rPr>
        <w:t xml:space="preserve"> </w:t>
      </w:r>
      <w:r w:rsidRPr="00A27648">
        <w:rPr>
          <w:rFonts w:ascii="Calibri" w:hAnsi="Calibri" w:cs="Calibri"/>
        </w:rPr>
        <w:t>pour être en conformité avec le référentiel Qualité Uniformation.</w:t>
      </w:r>
    </w:p>
    <w:p w14:paraId="58ADB957" w14:textId="77777777" w:rsidR="00347390" w:rsidRPr="000603AA" w:rsidRDefault="00347390" w:rsidP="00A27648">
      <w:pPr>
        <w:ind w:left="708"/>
        <w:jc w:val="both"/>
        <w:rPr>
          <w:rFonts w:ascii="Calibri" w:hAnsi="Calibri" w:cs="Calibri"/>
        </w:rPr>
      </w:pPr>
      <w:r w:rsidRPr="000603AA">
        <w:rPr>
          <w:rFonts w:ascii="Calibri" w:hAnsi="Calibri" w:cs="Calibri"/>
        </w:rPr>
        <w:t>Ou</w:t>
      </w:r>
    </w:p>
    <w:p w14:paraId="1BAC3598" w14:textId="77777777" w:rsidR="00347390" w:rsidRPr="00A27648" w:rsidRDefault="00347390" w:rsidP="00A27648">
      <w:pPr>
        <w:pStyle w:val="Paragraphedeliste"/>
        <w:numPr>
          <w:ilvl w:val="0"/>
          <w:numId w:val="19"/>
        </w:numPr>
        <w:jc w:val="both"/>
        <w:rPr>
          <w:rFonts w:ascii="Calibri" w:hAnsi="Calibri" w:cs="Calibri"/>
        </w:rPr>
      </w:pPr>
      <w:r w:rsidRPr="00A27648">
        <w:rPr>
          <w:rFonts w:ascii="Calibri" w:hAnsi="Calibri" w:cs="Calibri"/>
        </w:rPr>
        <w:lastRenderedPageBreak/>
        <w:t xml:space="preserve">sera </w:t>
      </w:r>
      <w:r w:rsidRPr="00A27648">
        <w:rPr>
          <w:rFonts w:ascii="Calibri" w:hAnsi="Calibri" w:cs="Calibri"/>
          <w:b/>
          <w:bCs/>
        </w:rPr>
        <w:t xml:space="preserve">titulaire d'une certification ou d'un label reconnu par le CNEFOP </w:t>
      </w:r>
      <w:r w:rsidRPr="00A27648">
        <w:rPr>
          <w:rFonts w:ascii="Calibri" w:hAnsi="Calibri" w:cs="Calibri"/>
        </w:rPr>
        <w:t xml:space="preserve">et/ou de </w:t>
      </w:r>
      <w:r w:rsidRPr="00A27648">
        <w:rPr>
          <w:rFonts w:ascii="Calibri" w:hAnsi="Calibri" w:cs="Calibri"/>
          <w:b/>
          <w:bCs/>
        </w:rPr>
        <w:t xml:space="preserve">la certification " </w:t>
      </w:r>
      <w:proofErr w:type="spellStart"/>
      <w:r w:rsidRPr="00A27648">
        <w:rPr>
          <w:rFonts w:ascii="Calibri" w:hAnsi="Calibri" w:cs="Calibri"/>
          <w:b/>
          <w:bCs/>
        </w:rPr>
        <w:t>Qualiopi</w:t>
      </w:r>
      <w:proofErr w:type="spellEnd"/>
      <w:r w:rsidRPr="00A27648">
        <w:rPr>
          <w:rFonts w:ascii="Calibri" w:hAnsi="Calibri" w:cs="Calibri"/>
          <w:b/>
          <w:bCs/>
        </w:rPr>
        <w:t xml:space="preserve"> " en cours de validé(e) sur la période.</w:t>
      </w:r>
    </w:p>
    <w:p w14:paraId="3890CCC7" w14:textId="77777777" w:rsidR="00347390" w:rsidRPr="000603AA" w:rsidRDefault="00347390" w:rsidP="0034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60CCFDA" w14:textId="08C39371" w:rsidR="00347390" w:rsidRPr="000603AA" w:rsidRDefault="00347390" w:rsidP="00A2764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0603AA">
        <w:rPr>
          <w:rFonts w:cstheme="minorHAnsi"/>
        </w:rPr>
        <w:t xml:space="preserve">Le référentiel national de la nouvelle certification Qualité des prestataires de formation instaurée par la loi « Avenir professionnel» du 05/09/2019 se base sur 7 critères (décrets n°2019-564 et n°2019-565 du 06/06/2019 publiés au JO du 08/06/2019). Ils remplaceront les 6 critères du décret Qualité du 30/06/2015 et par conséquent, le </w:t>
      </w:r>
      <w:proofErr w:type="spellStart"/>
      <w:r w:rsidRPr="000603AA">
        <w:rPr>
          <w:rFonts w:cstheme="minorHAnsi"/>
        </w:rPr>
        <w:t>Datadock</w:t>
      </w:r>
      <w:proofErr w:type="spellEnd"/>
      <w:r w:rsidRPr="000603AA">
        <w:rPr>
          <w:rFonts w:cstheme="minorHAnsi"/>
        </w:rPr>
        <w:t xml:space="preserve"> au 1er janvier 2022. Les organismes qui obtiennent la certification avant cette date sont réputés satisfaire aux critères actuellement en vigueur jusqu’au 31 décembre</w:t>
      </w:r>
      <w:r w:rsidR="00B47E42" w:rsidRPr="000603AA">
        <w:rPr>
          <w:rFonts w:cstheme="minorHAnsi"/>
        </w:rPr>
        <w:t xml:space="preserve"> </w:t>
      </w:r>
      <w:r w:rsidRPr="000603AA">
        <w:rPr>
          <w:rFonts w:cstheme="minorHAnsi"/>
        </w:rPr>
        <w:t>2021.</w:t>
      </w:r>
    </w:p>
    <w:p w14:paraId="3C03B1D5" w14:textId="57AB58C7" w:rsidR="00AA558E" w:rsidRPr="000603AA" w:rsidRDefault="00AA558E" w:rsidP="001E4155">
      <w:pPr>
        <w:jc w:val="both"/>
      </w:pPr>
    </w:p>
    <w:p w14:paraId="05695432" w14:textId="4C3302AE" w:rsidR="00AA558E" w:rsidRPr="00D56A72" w:rsidRDefault="00AA558E" w:rsidP="00644EAB">
      <w:pPr>
        <w:ind w:left="708"/>
        <w:jc w:val="both"/>
        <w:rPr>
          <w:i/>
          <w:iCs/>
          <w:color w:val="2F5496" w:themeColor="accent1" w:themeShade="BF"/>
        </w:rPr>
      </w:pPr>
      <w:r w:rsidRPr="00D56A72">
        <w:rPr>
          <w:i/>
          <w:iCs/>
          <w:color w:val="2F5496" w:themeColor="accent1" w:themeShade="BF"/>
        </w:rPr>
        <w:t xml:space="preserve">2.1.4 Mise en conformité avec l’accord handicap de la branche Mutualité </w:t>
      </w:r>
    </w:p>
    <w:p w14:paraId="1E0836CE" w14:textId="3AF4F752" w:rsidR="00AA558E" w:rsidRPr="000603AA" w:rsidRDefault="00AA558E" w:rsidP="00644EAB">
      <w:pPr>
        <w:ind w:left="426"/>
        <w:jc w:val="both"/>
      </w:pPr>
      <w:r w:rsidRPr="000603AA">
        <w:t xml:space="preserve">Les organismes répondant à cette consultation devront faire la démonstration de leur capacité à adapter la formation (supports, méthodes d’enseignement, matériel adapté, …) aux personnes en situation de handicap afin de satisfaire les conditions posées dans l’accord de branche handicap.  </w:t>
      </w:r>
    </w:p>
    <w:p w14:paraId="3C2B4CA3" w14:textId="77777777" w:rsidR="00AA558E" w:rsidRPr="000603AA" w:rsidRDefault="00AA558E" w:rsidP="00644EAB">
      <w:pPr>
        <w:ind w:left="426"/>
        <w:jc w:val="both"/>
      </w:pPr>
      <w:r w:rsidRPr="000603AA">
        <w:t xml:space="preserve">Accord de branche relatif à l’emploi des personnes en situation de handicap </w:t>
      </w:r>
    </w:p>
    <w:p w14:paraId="6427CDD9" w14:textId="1E4EB32D" w:rsidR="00AA558E" w:rsidRPr="000603AA" w:rsidRDefault="00AA558E" w:rsidP="00644EAB">
      <w:pPr>
        <w:ind w:left="426"/>
        <w:jc w:val="both"/>
      </w:pPr>
      <w:r w:rsidRPr="000603AA">
        <w:t xml:space="preserve">Article 5.2.3 « CQP de la branche » : </w:t>
      </w:r>
    </w:p>
    <w:p w14:paraId="6610E65B" w14:textId="3912B8F7" w:rsidR="00AA558E" w:rsidRPr="00BB74D1" w:rsidRDefault="00AA558E" w:rsidP="00644EAB">
      <w:pPr>
        <w:ind w:left="426"/>
        <w:jc w:val="both"/>
        <w:rPr>
          <w:i/>
          <w:iCs/>
        </w:rPr>
      </w:pPr>
      <w:r w:rsidRPr="00BB74D1">
        <w:rPr>
          <w:i/>
          <w:iCs/>
        </w:rPr>
        <w:t xml:space="preserve">Le dispositif CQP de la branche peut faciliter l’insertion des personnes en situation de handicap sur les métiers des mutuelles. </w:t>
      </w:r>
    </w:p>
    <w:p w14:paraId="316219CF" w14:textId="3CE53ACA" w:rsidR="00AA558E" w:rsidRPr="00BB74D1" w:rsidRDefault="00AA558E" w:rsidP="00644EAB">
      <w:pPr>
        <w:ind w:left="426"/>
        <w:jc w:val="both"/>
        <w:rPr>
          <w:i/>
          <w:iCs/>
        </w:rPr>
      </w:pPr>
      <w:r w:rsidRPr="00BB74D1">
        <w:rPr>
          <w:i/>
          <w:iCs/>
        </w:rPr>
        <w:t xml:space="preserve">Dans cette perspective les organismes labellisés doivent adapter la formation (adaptation des supports, des méthodes d’enseignement, mise à disposition de matériel adapté, …) aux personnes en situation de handicap.  </w:t>
      </w:r>
    </w:p>
    <w:p w14:paraId="1B84F17E" w14:textId="5BFAA181" w:rsidR="00AA558E" w:rsidRPr="000603AA" w:rsidRDefault="00AA558E" w:rsidP="00644EAB">
      <w:pPr>
        <w:ind w:left="426"/>
        <w:jc w:val="both"/>
      </w:pPr>
      <w:r w:rsidRPr="00BB74D1">
        <w:rPr>
          <w:i/>
          <w:iCs/>
        </w:rPr>
        <w:t>La capacité à adapter la formation afin de répondre aux besoins d’un salarié en situation de handicap sera un des critères de labellisation des organismes de formation</w:t>
      </w:r>
      <w:r w:rsidRPr="000603AA">
        <w:t xml:space="preserve">.  </w:t>
      </w:r>
    </w:p>
    <w:p w14:paraId="563139B3" w14:textId="0EA96386" w:rsidR="00AA558E" w:rsidRPr="000603AA" w:rsidRDefault="00AA558E" w:rsidP="001E4155">
      <w:pPr>
        <w:jc w:val="both"/>
      </w:pPr>
    </w:p>
    <w:p w14:paraId="6A8928E6" w14:textId="135BD6B0" w:rsidR="00AA558E" w:rsidRPr="00D56A72" w:rsidRDefault="00AA558E" w:rsidP="001E4155">
      <w:pPr>
        <w:jc w:val="both"/>
        <w:rPr>
          <w:color w:val="2F5496" w:themeColor="accent1" w:themeShade="BF"/>
        </w:rPr>
      </w:pPr>
      <w:r w:rsidRPr="00D56A72">
        <w:rPr>
          <w:color w:val="2F5496" w:themeColor="accent1" w:themeShade="BF"/>
        </w:rPr>
        <w:t xml:space="preserve">2.2 L’offre technique détaillée </w:t>
      </w:r>
    </w:p>
    <w:p w14:paraId="2AF2F651" w14:textId="4547CA98" w:rsidR="00AA558E" w:rsidRPr="000603AA" w:rsidRDefault="00AA558E" w:rsidP="001E4155">
      <w:pPr>
        <w:jc w:val="both"/>
      </w:pPr>
      <w:r w:rsidRPr="000603AA">
        <w:t>Les dispositifs CQP de la branche Mutualité étant accessible</w:t>
      </w:r>
      <w:r w:rsidR="00644EAB">
        <w:t>s</w:t>
      </w:r>
      <w:r w:rsidRPr="000603AA">
        <w:t xml:space="preserve"> par la voie formative</w:t>
      </w:r>
      <w:r w:rsidR="00C37891" w:rsidRPr="000603AA">
        <w:t xml:space="preserve"> et de l’évaluation des compétences</w:t>
      </w:r>
      <w:r w:rsidRPr="000603AA">
        <w:t xml:space="preserve"> ou la validation des acquis de l’expérience (VAE), l’organisme candidat peut demander une </w:t>
      </w:r>
      <w:r w:rsidR="00C37891" w:rsidRPr="000603AA">
        <w:t xml:space="preserve">habilitation </w:t>
      </w:r>
      <w:r w:rsidRPr="000603AA">
        <w:t>sur l’un</w:t>
      </w:r>
      <w:r w:rsidR="00C37891" w:rsidRPr="000603AA">
        <w:t>e</w:t>
      </w:r>
      <w:r w:rsidRPr="000603AA">
        <w:t xml:space="preserve"> et/ou l’autre des </w:t>
      </w:r>
      <w:r w:rsidR="00C37891" w:rsidRPr="000603AA">
        <w:t>voies d’accès</w:t>
      </w:r>
      <w:r w:rsidRPr="000603AA">
        <w:t xml:space="preserve">.  </w:t>
      </w:r>
    </w:p>
    <w:p w14:paraId="4A8777F8" w14:textId="77777777" w:rsidR="00AA558E" w:rsidRPr="000603AA" w:rsidRDefault="00AA558E" w:rsidP="001E4155">
      <w:pPr>
        <w:jc w:val="both"/>
      </w:pPr>
      <w:r w:rsidRPr="000603AA">
        <w:t xml:space="preserve">La réponse de l’organisme candidat peut porter sur un ou plusieurs CQP. </w:t>
      </w:r>
    </w:p>
    <w:p w14:paraId="4A1250D7" w14:textId="3B9FC54F" w:rsidR="00AA558E" w:rsidRPr="000603AA" w:rsidRDefault="00AA558E" w:rsidP="001E4155">
      <w:pPr>
        <w:jc w:val="both"/>
      </w:pPr>
    </w:p>
    <w:p w14:paraId="09AC4566" w14:textId="1C409721" w:rsidR="00AA558E" w:rsidRPr="00D56A72" w:rsidRDefault="00AA558E" w:rsidP="00644EAB">
      <w:pPr>
        <w:ind w:left="708"/>
        <w:jc w:val="both"/>
        <w:rPr>
          <w:i/>
          <w:iCs/>
          <w:color w:val="2F5496" w:themeColor="accent1" w:themeShade="BF"/>
        </w:rPr>
      </w:pPr>
      <w:r w:rsidRPr="00D56A72">
        <w:rPr>
          <w:i/>
          <w:iCs/>
          <w:color w:val="2F5496" w:themeColor="accent1" w:themeShade="BF"/>
        </w:rPr>
        <w:t xml:space="preserve">2.2.1 Le parcours de formation individualisé </w:t>
      </w:r>
    </w:p>
    <w:p w14:paraId="5E14EA02" w14:textId="7B613865" w:rsidR="00AA558E" w:rsidRDefault="00AA558E" w:rsidP="00644EAB">
      <w:pPr>
        <w:ind w:left="360"/>
        <w:jc w:val="both"/>
      </w:pPr>
      <w:r w:rsidRPr="000603AA">
        <w:t xml:space="preserve">Le parcours de formation individualisé a pour objectifs de développer les compétences des salariés exerçant le métier et de permettre aux nouveaux entrants d’acquérir les compétences </w:t>
      </w:r>
      <w:r w:rsidR="00C37891" w:rsidRPr="000603AA">
        <w:t>nécessaires à l’exe</w:t>
      </w:r>
      <w:r w:rsidR="00D56A72">
        <w:t>r</w:t>
      </w:r>
      <w:r w:rsidR="00C37891" w:rsidRPr="000603AA">
        <w:t xml:space="preserve">cice </w:t>
      </w:r>
      <w:r w:rsidRPr="000603AA">
        <w:t xml:space="preserve">du métier. </w:t>
      </w:r>
    </w:p>
    <w:p w14:paraId="5BBD6C95" w14:textId="0CFB6D91" w:rsidR="00644EAB" w:rsidRDefault="00644EAB" w:rsidP="00644EAB">
      <w:pPr>
        <w:ind w:left="360"/>
        <w:jc w:val="both"/>
      </w:pPr>
    </w:p>
    <w:p w14:paraId="24A71A8F" w14:textId="77777777" w:rsidR="00644EAB" w:rsidRPr="000603AA" w:rsidRDefault="00644EAB" w:rsidP="00644EAB">
      <w:pPr>
        <w:ind w:left="360"/>
        <w:jc w:val="both"/>
      </w:pPr>
    </w:p>
    <w:p w14:paraId="4947C280" w14:textId="40EF6B55" w:rsidR="00AA558E" w:rsidRPr="00644EAB" w:rsidRDefault="00AA558E" w:rsidP="001E4155">
      <w:pPr>
        <w:pStyle w:val="Paragraphedeliste"/>
        <w:numPr>
          <w:ilvl w:val="0"/>
          <w:numId w:val="9"/>
        </w:numPr>
        <w:jc w:val="both"/>
        <w:rPr>
          <w:b/>
          <w:bCs/>
        </w:rPr>
      </w:pPr>
      <w:r w:rsidRPr="00644EAB">
        <w:rPr>
          <w:b/>
          <w:bCs/>
        </w:rPr>
        <w:lastRenderedPageBreak/>
        <w:t xml:space="preserve">Les étapes du parcours de formation individualisé : </w:t>
      </w:r>
    </w:p>
    <w:p w14:paraId="60FD88A2" w14:textId="77777777" w:rsidR="00AA558E" w:rsidRPr="000603AA" w:rsidRDefault="00AA558E" w:rsidP="001E4155">
      <w:pPr>
        <w:jc w:val="both"/>
      </w:pPr>
      <w:r w:rsidRPr="000603AA">
        <w:t xml:space="preserve">1/ L’entretien d’accueil et d’orientation doit permettre d’identifier les compétences déjà acquises qui pourront donner lieu directement à évaluation et les compétences à acquérir qui feront l’objet d’une formation comportant des modules de formation en centre et des périodes en entreprise. </w:t>
      </w:r>
    </w:p>
    <w:p w14:paraId="796F8A69" w14:textId="77777777" w:rsidR="00AA558E" w:rsidRPr="000603AA" w:rsidRDefault="00AA558E" w:rsidP="001E4155">
      <w:pPr>
        <w:jc w:val="both"/>
      </w:pPr>
      <w:r w:rsidRPr="000603AA">
        <w:t xml:space="preserve"> </w:t>
      </w:r>
    </w:p>
    <w:p w14:paraId="56322A6C" w14:textId="77777777" w:rsidR="00C37891" w:rsidRPr="000603AA" w:rsidRDefault="00AA558E" w:rsidP="001E4155">
      <w:pPr>
        <w:jc w:val="both"/>
      </w:pPr>
      <w:r w:rsidRPr="000603AA">
        <w:t xml:space="preserve">2/ Le suivi de la formation  </w:t>
      </w:r>
    </w:p>
    <w:p w14:paraId="65E7D033" w14:textId="392297E2" w:rsidR="00C37891" w:rsidRPr="000603AA" w:rsidRDefault="00AA558E" w:rsidP="001E4155">
      <w:pPr>
        <w:jc w:val="both"/>
      </w:pPr>
      <w:r w:rsidRPr="000603AA">
        <w:t>Les évaluations dans le cadre de la formation sont obligatoires et permettent d’évaluer l</w:t>
      </w:r>
      <w:r w:rsidR="00C37891" w:rsidRPr="000603AA">
        <w:t>a progression dans le parcours et l</w:t>
      </w:r>
      <w:r w:rsidRPr="000603AA">
        <w:t xml:space="preserve">es acquis du candidat </w:t>
      </w:r>
      <w:r w:rsidR="00C37891" w:rsidRPr="000603AA">
        <w:t xml:space="preserve">au </w:t>
      </w:r>
      <w:r w:rsidRPr="000603AA">
        <w:t xml:space="preserve">CQP pour l’ensemble des </w:t>
      </w:r>
      <w:r w:rsidR="00C37891" w:rsidRPr="000603AA">
        <w:t xml:space="preserve">blocs </w:t>
      </w:r>
      <w:r w:rsidRPr="000603AA">
        <w:t>de compétences</w:t>
      </w:r>
      <w:r w:rsidR="00C37891" w:rsidRPr="000603AA">
        <w:t xml:space="preserve"> visés</w:t>
      </w:r>
      <w:r w:rsidRPr="000603AA">
        <w:t xml:space="preserve">. Les résultats seront transmis à l’entreprise et lui permettront d’adapter le parcours du candidat. </w:t>
      </w:r>
    </w:p>
    <w:p w14:paraId="19E64398" w14:textId="250A0551" w:rsidR="00AA558E" w:rsidRDefault="00C37891" w:rsidP="001E4155">
      <w:pPr>
        <w:jc w:val="both"/>
      </w:pPr>
      <w:r w:rsidRPr="000603AA">
        <w:t xml:space="preserve">Dans ce cadre, l’organisme s’engage à fournir un modèle de livret de suivi de la formation et à le compléter. Ce livret devra être transmis à l’entreprise ainsi qu’au jury et à la commission paritaire. </w:t>
      </w:r>
      <w:r w:rsidR="00AA558E" w:rsidRPr="000603AA">
        <w:t xml:space="preserve">Ce livret est donc un outil pour le stagiaire, les formateurs, l’entreprise puis, dans un dernier temps, pour le jury </w:t>
      </w:r>
      <w:r w:rsidRPr="000603AA">
        <w:t>et</w:t>
      </w:r>
      <w:r w:rsidR="00B47E42" w:rsidRPr="000603AA">
        <w:t>/ou</w:t>
      </w:r>
      <w:r w:rsidRPr="000603AA">
        <w:t xml:space="preserve"> la commission </w:t>
      </w:r>
      <w:r w:rsidR="00AA558E" w:rsidRPr="000603AA">
        <w:t>paritaire</w:t>
      </w:r>
      <w:r w:rsidRPr="000603AA">
        <w:t>.</w:t>
      </w:r>
      <w:r w:rsidR="00B47E42" w:rsidRPr="000603AA">
        <w:t xml:space="preserve"> L’organisme s’engage également à compléter la fiche de synthèse du parcours de formation</w:t>
      </w:r>
      <w:r w:rsidR="00413369">
        <w:t xml:space="preserve"> </w:t>
      </w:r>
      <w:r w:rsidR="002261B3" w:rsidRPr="000603AA">
        <w:t>qui devra être transmis à l’employeur et ou secrétariat de la CPNEFP.</w:t>
      </w:r>
    </w:p>
    <w:p w14:paraId="08BEB6D0" w14:textId="77777777" w:rsidR="00D56A72" w:rsidRPr="000603AA" w:rsidRDefault="00D56A72" w:rsidP="001E4155">
      <w:pPr>
        <w:jc w:val="both"/>
      </w:pPr>
    </w:p>
    <w:p w14:paraId="0FC9CFEC" w14:textId="6613623A" w:rsidR="00AA558E" w:rsidRPr="000603AA" w:rsidRDefault="00AA558E" w:rsidP="001E4155">
      <w:pPr>
        <w:jc w:val="both"/>
      </w:pPr>
      <w:r w:rsidRPr="000603AA">
        <w:t xml:space="preserve">3/ Le processus d’évaluation qui comprend </w:t>
      </w:r>
      <w:r w:rsidR="00F2098F" w:rsidRPr="000603AA">
        <w:t xml:space="preserve">deux </w:t>
      </w:r>
      <w:r w:rsidRPr="000603AA">
        <w:t xml:space="preserve">phases : </w:t>
      </w:r>
    </w:p>
    <w:p w14:paraId="5A13E14A" w14:textId="196E9E7E" w:rsidR="00F2098F" w:rsidRPr="000603AA" w:rsidRDefault="00F2098F" w:rsidP="00644EAB">
      <w:pPr>
        <w:pStyle w:val="Paragraphedeliste"/>
        <w:numPr>
          <w:ilvl w:val="0"/>
          <w:numId w:val="9"/>
        </w:numPr>
        <w:jc w:val="both"/>
      </w:pPr>
      <w:r w:rsidRPr="000603AA">
        <w:t>Evaluation des compétences en entreprise</w:t>
      </w:r>
    </w:p>
    <w:p w14:paraId="44C7D5B6" w14:textId="45938435" w:rsidR="00F2098F" w:rsidRPr="000603AA" w:rsidRDefault="00F2098F" w:rsidP="001E4155">
      <w:pPr>
        <w:jc w:val="both"/>
      </w:pPr>
      <w:r w:rsidRPr="000603AA">
        <w:t>L’évaluation est réalisée par deux évaluateurs (voir le règlement du dispositif).</w:t>
      </w:r>
      <w:r w:rsidR="007327B0">
        <w:t xml:space="preserve"> L</w:t>
      </w:r>
      <w:r w:rsidR="00377F6E" w:rsidRPr="000603AA">
        <w:t>’organisme de formation pourra être amené à organiser les épreuves en lien avec l’employeur, et participer le cas échéant au jury d’évaluation.</w:t>
      </w:r>
      <w:r w:rsidR="0025464C">
        <w:t xml:space="preserve"> En outre, l’organisme de formation s’engage à fournir des études de cas et exemples de mises en situation autant que de besoin pour la mise en œuvre de l’évaluation en entreprise. </w:t>
      </w:r>
    </w:p>
    <w:p w14:paraId="158AA152" w14:textId="7E1C16F5" w:rsidR="00F2098F" w:rsidRPr="000603AA" w:rsidRDefault="00AA558E" w:rsidP="00644EAB">
      <w:pPr>
        <w:pStyle w:val="Paragraphedeliste"/>
        <w:numPr>
          <w:ilvl w:val="0"/>
          <w:numId w:val="9"/>
        </w:numPr>
        <w:jc w:val="both"/>
      </w:pPr>
      <w:r w:rsidRPr="000603AA">
        <w:t xml:space="preserve">Evaluation </w:t>
      </w:r>
      <w:r w:rsidR="00F2098F" w:rsidRPr="000603AA">
        <w:t>finale du candidat</w:t>
      </w:r>
    </w:p>
    <w:p w14:paraId="22FB4A37" w14:textId="7D1432EC" w:rsidR="00F2098F" w:rsidRPr="000603AA" w:rsidRDefault="00F2098F" w:rsidP="001E4155">
      <w:pPr>
        <w:jc w:val="both"/>
      </w:pPr>
      <w:r w:rsidRPr="000603AA">
        <w:t>- Dans le cas où le candidat souhaite être certifié pour l’ensemble des blocs de compétences requis pour valider la certification, il est reçu en entretien par un jury</w:t>
      </w:r>
      <w:r w:rsidR="00055520">
        <w:t xml:space="preserve"> de délivrance</w:t>
      </w:r>
      <w:r w:rsidRPr="000603AA">
        <w:t xml:space="preserve"> paritaire.</w:t>
      </w:r>
    </w:p>
    <w:p w14:paraId="7393CF0F" w14:textId="7249B996" w:rsidR="00AA558E" w:rsidRPr="000603AA" w:rsidRDefault="00F2098F" w:rsidP="001E4155">
      <w:pPr>
        <w:jc w:val="both"/>
      </w:pPr>
      <w:r w:rsidRPr="000603AA">
        <w:t xml:space="preserve">- En cas de passage d’un ou plusieurs bloc(s) isolé(s), le candidat présente son dossier écrit, sans entretien oral, devant une commission </w:t>
      </w:r>
      <w:r w:rsidR="00055520">
        <w:t xml:space="preserve">de délivrance </w:t>
      </w:r>
      <w:r w:rsidRPr="000603AA">
        <w:t xml:space="preserve">paritaire. </w:t>
      </w:r>
    </w:p>
    <w:p w14:paraId="087B7940" w14:textId="37486494" w:rsidR="00AA558E" w:rsidRPr="000603AA" w:rsidRDefault="00F2098F" w:rsidP="001E4155">
      <w:pPr>
        <w:jc w:val="both"/>
      </w:pPr>
      <w:r w:rsidRPr="000603AA">
        <w:t xml:space="preserve">Des outils et guides ont été construits pour accompagner les différents acteurs au cours de chacune de ces étapes. </w:t>
      </w:r>
    </w:p>
    <w:p w14:paraId="03E7370A" w14:textId="77777777" w:rsidR="00AA558E" w:rsidRPr="000603AA" w:rsidRDefault="00AA558E" w:rsidP="001E4155">
      <w:pPr>
        <w:jc w:val="both"/>
      </w:pPr>
      <w:r w:rsidRPr="000603AA">
        <w:t xml:space="preserve"> </w:t>
      </w:r>
    </w:p>
    <w:p w14:paraId="564FEC98" w14:textId="3CA259FA" w:rsidR="00AA558E" w:rsidRPr="00644EAB" w:rsidRDefault="00AA558E" w:rsidP="001E4155">
      <w:pPr>
        <w:pStyle w:val="Paragraphedeliste"/>
        <w:numPr>
          <w:ilvl w:val="0"/>
          <w:numId w:val="9"/>
        </w:numPr>
        <w:jc w:val="both"/>
        <w:rPr>
          <w:b/>
          <w:bCs/>
        </w:rPr>
      </w:pPr>
      <w:r w:rsidRPr="00644EAB">
        <w:rPr>
          <w:b/>
          <w:bCs/>
        </w:rPr>
        <w:t xml:space="preserve">Réponse de l’organisme souhaitant être </w:t>
      </w:r>
      <w:r w:rsidR="00F2098F" w:rsidRPr="00644EAB">
        <w:rPr>
          <w:b/>
          <w:bCs/>
        </w:rPr>
        <w:t>habilité po</w:t>
      </w:r>
      <w:r w:rsidRPr="00644EAB">
        <w:rPr>
          <w:b/>
          <w:bCs/>
        </w:rPr>
        <w:t xml:space="preserve">ur l’accompagnement des parcours CQP par la voie formative : </w:t>
      </w:r>
    </w:p>
    <w:p w14:paraId="1E2194C0" w14:textId="50AB4AE3" w:rsidR="00AA558E" w:rsidRPr="000603AA" w:rsidRDefault="00AA558E" w:rsidP="001E4155">
      <w:pPr>
        <w:jc w:val="both"/>
      </w:pPr>
      <w:r w:rsidRPr="000603AA">
        <w:t xml:space="preserve">La réponse de l’organisme peut porter sur un ou plusieurs CQP.  </w:t>
      </w:r>
    </w:p>
    <w:p w14:paraId="7F6A4F7D" w14:textId="73D30F41" w:rsidR="00AA558E" w:rsidRPr="000603AA" w:rsidRDefault="00AA558E" w:rsidP="001E4155">
      <w:pPr>
        <w:jc w:val="both"/>
      </w:pPr>
      <w:r w:rsidRPr="000603AA">
        <w:t xml:space="preserve">Elle comportera deux volets : </w:t>
      </w:r>
    </w:p>
    <w:p w14:paraId="23D0A7DB" w14:textId="42E55AAD" w:rsidR="00AA558E" w:rsidRPr="000603AA" w:rsidRDefault="00AA558E" w:rsidP="001E4155">
      <w:pPr>
        <w:jc w:val="both"/>
      </w:pPr>
      <w:r w:rsidRPr="000603AA">
        <w:t xml:space="preserve">1/ Une présentation des outils et méthodes utilisées à chaque étape de la démarche de certification   </w:t>
      </w:r>
    </w:p>
    <w:p w14:paraId="08B4E06D" w14:textId="77777777" w:rsidR="00D56A72" w:rsidRDefault="00AA558E" w:rsidP="00644EAB">
      <w:pPr>
        <w:pStyle w:val="Paragraphedeliste"/>
        <w:numPr>
          <w:ilvl w:val="0"/>
          <w:numId w:val="10"/>
        </w:numPr>
        <w:jc w:val="both"/>
      </w:pPr>
      <w:r w:rsidRPr="000603AA">
        <w:lastRenderedPageBreak/>
        <w:t xml:space="preserve">Entretien d’accueil et d’orientation ; </w:t>
      </w:r>
    </w:p>
    <w:p w14:paraId="365D9F08" w14:textId="77777777" w:rsidR="00D56A72" w:rsidRDefault="00AA558E" w:rsidP="001E4155">
      <w:pPr>
        <w:pStyle w:val="Paragraphedeliste"/>
        <w:numPr>
          <w:ilvl w:val="0"/>
          <w:numId w:val="10"/>
        </w:numPr>
        <w:jc w:val="both"/>
      </w:pPr>
      <w:r w:rsidRPr="000603AA">
        <w:t>Proposition d’accompagnement par la voie formative :</w:t>
      </w:r>
    </w:p>
    <w:p w14:paraId="70CC0764" w14:textId="777C2184" w:rsidR="00D56A72" w:rsidRDefault="002261B3" w:rsidP="001E4155">
      <w:pPr>
        <w:pStyle w:val="Paragraphedeliste"/>
        <w:numPr>
          <w:ilvl w:val="1"/>
          <w:numId w:val="10"/>
        </w:numPr>
        <w:jc w:val="both"/>
      </w:pPr>
      <w:r w:rsidRPr="000603AA">
        <w:t>Référentiel de formation (</w:t>
      </w:r>
      <w:r w:rsidR="00AA558E" w:rsidRPr="000603AA">
        <w:t xml:space="preserve">Découpage et modularisation de la formation en réponse aux </w:t>
      </w:r>
      <w:r w:rsidR="00F2098F" w:rsidRPr="000603AA">
        <w:t xml:space="preserve">blocs </w:t>
      </w:r>
      <w:r w:rsidR="00AA558E" w:rsidRPr="000603AA">
        <w:t>de compétences du référentiel du ou des CQP visé(s)</w:t>
      </w:r>
      <w:r w:rsidRPr="000603AA">
        <w:t>)</w:t>
      </w:r>
      <w:r w:rsidR="00D56A72">
        <w:t> ;</w:t>
      </w:r>
      <w:r w:rsidR="00AA558E" w:rsidRPr="000603AA">
        <w:t xml:space="preserve"> </w:t>
      </w:r>
    </w:p>
    <w:p w14:paraId="64178422" w14:textId="6B273E14" w:rsidR="00D56A72" w:rsidRDefault="00AA558E" w:rsidP="001E4155">
      <w:pPr>
        <w:pStyle w:val="Paragraphedeliste"/>
        <w:numPr>
          <w:ilvl w:val="1"/>
          <w:numId w:val="10"/>
        </w:numPr>
        <w:jc w:val="both"/>
      </w:pPr>
      <w:r w:rsidRPr="000603AA">
        <w:t>Planification des modules de formation avec une durée indicative</w:t>
      </w:r>
      <w:r w:rsidR="00D56A72">
        <w:t> ;</w:t>
      </w:r>
    </w:p>
    <w:p w14:paraId="3DAA5B00" w14:textId="31FD0A2E" w:rsidR="00D56A72" w:rsidRDefault="00AA558E" w:rsidP="001E4155">
      <w:pPr>
        <w:pStyle w:val="Paragraphedeliste"/>
        <w:numPr>
          <w:ilvl w:val="1"/>
          <w:numId w:val="10"/>
        </w:numPr>
        <w:jc w:val="both"/>
      </w:pPr>
      <w:r w:rsidRPr="000603AA">
        <w:t xml:space="preserve">Individualisation des parcours rendue possible grâce au découpage modulaire de la formation par </w:t>
      </w:r>
      <w:r w:rsidR="00F2098F" w:rsidRPr="000603AA">
        <w:t>blocs</w:t>
      </w:r>
      <w:r w:rsidR="00D56A72">
        <w:t xml:space="preserve"> </w:t>
      </w:r>
      <w:r w:rsidRPr="000603AA">
        <w:t>de compétences</w:t>
      </w:r>
      <w:r w:rsidR="00D56A72">
        <w:t> ;</w:t>
      </w:r>
      <w:r w:rsidRPr="000603AA">
        <w:t xml:space="preserve"> </w:t>
      </w:r>
    </w:p>
    <w:p w14:paraId="3A421908" w14:textId="4F0DC07C" w:rsidR="00D56A72" w:rsidRDefault="00D56A72" w:rsidP="001E4155">
      <w:pPr>
        <w:pStyle w:val="Paragraphedeliste"/>
        <w:numPr>
          <w:ilvl w:val="1"/>
          <w:numId w:val="10"/>
        </w:numPr>
        <w:jc w:val="both"/>
      </w:pPr>
      <w:r>
        <w:t>M</w:t>
      </w:r>
      <w:r w:rsidR="00AA558E" w:rsidRPr="000603AA">
        <w:t>éthodes pédagogiques et évaluations formatives</w:t>
      </w:r>
      <w:r>
        <w:t> ;</w:t>
      </w:r>
      <w:r w:rsidR="00AA558E" w:rsidRPr="000603AA">
        <w:t xml:space="preserve"> </w:t>
      </w:r>
    </w:p>
    <w:p w14:paraId="2DE3E42A" w14:textId="1161AFC6" w:rsidR="00D56A72" w:rsidRDefault="00D56A72" w:rsidP="00D56A72">
      <w:pPr>
        <w:pStyle w:val="Paragraphedeliste"/>
        <w:ind w:left="1440"/>
        <w:jc w:val="both"/>
      </w:pPr>
      <w:r>
        <w:t>P</w:t>
      </w:r>
      <w:r w:rsidR="002261B3" w:rsidRPr="000603AA">
        <w:t>roposition de livret de suivi de la formation</w:t>
      </w:r>
      <w:r>
        <w:t> ;</w:t>
      </w:r>
    </w:p>
    <w:p w14:paraId="4C4DA3F9" w14:textId="72DF69F1" w:rsidR="00D56A72" w:rsidRDefault="00AA558E" w:rsidP="00D56A72">
      <w:pPr>
        <w:pStyle w:val="Paragraphedeliste"/>
        <w:numPr>
          <w:ilvl w:val="1"/>
          <w:numId w:val="10"/>
        </w:numPr>
        <w:jc w:val="both"/>
      </w:pPr>
      <w:r w:rsidRPr="000603AA">
        <w:t xml:space="preserve">Préparation </w:t>
      </w:r>
      <w:r w:rsidR="00F2098F" w:rsidRPr="000603AA">
        <w:t>du dossier présenté à la commission paritaire ou de l’entretien avec le</w:t>
      </w:r>
      <w:r w:rsidRPr="000603AA">
        <w:t xml:space="preserve"> jury</w:t>
      </w:r>
      <w:r w:rsidR="00055520">
        <w:t xml:space="preserve"> ainsi que des études de cas nécessaires aux évaluations</w:t>
      </w:r>
    </w:p>
    <w:p w14:paraId="3C4FE3E4" w14:textId="3F43F230" w:rsidR="00AA558E" w:rsidRDefault="00D56A72" w:rsidP="001E4155">
      <w:pPr>
        <w:pStyle w:val="Paragraphedeliste"/>
        <w:numPr>
          <w:ilvl w:val="0"/>
          <w:numId w:val="10"/>
        </w:numPr>
        <w:jc w:val="both"/>
      </w:pPr>
      <w:r>
        <w:t>P</w:t>
      </w:r>
      <w:r w:rsidR="00377F6E" w:rsidRPr="000603AA">
        <w:t>résentation de personnes susceptibles d’assurer le rôle de jury d’évaluation pour chacun des CQP (CV)</w:t>
      </w:r>
    </w:p>
    <w:p w14:paraId="2CAEE086" w14:textId="77777777" w:rsidR="00D56A72" w:rsidRPr="000603AA" w:rsidRDefault="00D56A72" w:rsidP="00D56A72">
      <w:pPr>
        <w:pStyle w:val="Paragraphedeliste"/>
        <w:jc w:val="both"/>
      </w:pPr>
    </w:p>
    <w:p w14:paraId="26B33159" w14:textId="66720558" w:rsidR="00AA558E" w:rsidRPr="000603AA" w:rsidRDefault="00AA558E" w:rsidP="001E4155">
      <w:pPr>
        <w:jc w:val="both"/>
      </w:pPr>
      <w:r w:rsidRPr="000603AA">
        <w:t xml:space="preserve">2/ Une proposition financière détaillée par CQP : </w:t>
      </w:r>
    </w:p>
    <w:p w14:paraId="121423FD" w14:textId="2710F8E8" w:rsidR="00AA558E" w:rsidRPr="000603AA" w:rsidRDefault="00AA558E" w:rsidP="001E4155">
      <w:pPr>
        <w:jc w:val="both"/>
      </w:pPr>
      <w:r w:rsidRPr="000603AA">
        <w:t xml:space="preserve">Présentation d’une ingénierie financière pour une programmation intra et inter-entreprises (coût par personne/heure) en différenciant : </w:t>
      </w:r>
    </w:p>
    <w:p w14:paraId="7E017745" w14:textId="77777777" w:rsidR="00D56A72" w:rsidRDefault="00AA558E" w:rsidP="001E4155">
      <w:pPr>
        <w:pStyle w:val="Paragraphedeliste"/>
        <w:numPr>
          <w:ilvl w:val="0"/>
          <w:numId w:val="12"/>
        </w:numPr>
        <w:jc w:val="both"/>
      </w:pPr>
      <w:r w:rsidRPr="000603AA">
        <w:t>Le coût pédagogique (</w:t>
      </w:r>
      <w:r w:rsidR="002261B3" w:rsidRPr="000603AA">
        <w:t xml:space="preserve">formation, </w:t>
      </w:r>
      <w:r w:rsidRPr="000603AA">
        <w:t xml:space="preserve">Accompagnements, préparation au jury, etc.) ; </w:t>
      </w:r>
    </w:p>
    <w:p w14:paraId="29B56313" w14:textId="38ADC8E9" w:rsidR="00AA558E" w:rsidRPr="000603AA" w:rsidRDefault="00AA558E" w:rsidP="001E4155">
      <w:pPr>
        <w:pStyle w:val="Paragraphedeliste"/>
        <w:numPr>
          <w:ilvl w:val="0"/>
          <w:numId w:val="12"/>
        </w:numPr>
        <w:jc w:val="both"/>
      </w:pPr>
      <w:r w:rsidRPr="000603AA">
        <w:t xml:space="preserve">Les </w:t>
      </w:r>
      <w:r w:rsidR="002261B3" w:rsidRPr="000603AA">
        <w:t xml:space="preserve">frais </w:t>
      </w:r>
      <w:r w:rsidRPr="000603AA">
        <w:t xml:space="preserve">annexes (transports, hébergements, restauration, etc.).   </w:t>
      </w:r>
    </w:p>
    <w:p w14:paraId="2EA6924A" w14:textId="47F49FEF" w:rsidR="00AA558E" w:rsidRPr="000603AA" w:rsidRDefault="00AA558E" w:rsidP="001E4155">
      <w:pPr>
        <w:jc w:val="both"/>
      </w:pPr>
      <w:r w:rsidRPr="000603AA">
        <w:t xml:space="preserve"> </w:t>
      </w:r>
    </w:p>
    <w:p w14:paraId="4746F82D" w14:textId="77777777" w:rsidR="00AA558E" w:rsidRPr="000603AA" w:rsidRDefault="00AA558E" w:rsidP="001E4155">
      <w:pPr>
        <w:jc w:val="both"/>
      </w:pPr>
      <w:r w:rsidRPr="000603AA">
        <w:t xml:space="preserve"> </w:t>
      </w:r>
    </w:p>
    <w:p w14:paraId="3B56ECD9" w14:textId="726C8C35" w:rsidR="00AA558E" w:rsidRPr="00D56A72" w:rsidRDefault="00AA558E" w:rsidP="001E4155">
      <w:pPr>
        <w:jc w:val="both"/>
        <w:rPr>
          <w:i/>
          <w:iCs/>
          <w:color w:val="2F5496" w:themeColor="accent1" w:themeShade="BF"/>
        </w:rPr>
      </w:pPr>
      <w:r w:rsidRPr="00D56A72">
        <w:rPr>
          <w:i/>
          <w:iCs/>
          <w:color w:val="2F5496" w:themeColor="accent1" w:themeShade="BF"/>
        </w:rPr>
        <w:t xml:space="preserve">2.2.2 La validation des acquis de l’expérience </w:t>
      </w:r>
    </w:p>
    <w:p w14:paraId="0A6AD431" w14:textId="77F1230B" w:rsidR="00AA558E" w:rsidRPr="000603AA" w:rsidRDefault="00AA558E" w:rsidP="001E4155">
      <w:pPr>
        <w:jc w:val="both"/>
      </w:pPr>
      <w:r w:rsidRPr="000603AA">
        <w:t xml:space="preserve">Le principe de la VAE consiste à évaluer les compétences qui ont été acquises par le candidat au travers de son expérience, notamment professionnelle, et à les comparer aux exigences du référentiel de compétences du titre CQP. </w:t>
      </w:r>
    </w:p>
    <w:p w14:paraId="22D34F10" w14:textId="6C27DFFE" w:rsidR="00AA558E" w:rsidRPr="000603AA" w:rsidRDefault="00AA558E" w:rsidP="001E4155">
      <w:pPr>
        <w:jc w:val="both"/>
      </w:pPr>
      <w:r w:rsidRPr="000603AA">
        <w:t xml:space="preserve">Le parcours VAE est accessible pour des personnes ayant une expérience correspondant au métier. Ces personnes peuvent ne pas être salariées d’une mutuelle lorsqu’elles déposent leur demande. </w:t>
      </w:r>
    </w:p>
    <w:p w14:paraId="1F8CDE33" w14:textId="24FCA196" w:rsidR="00AA558E" w:rsidRPr="00644EAB" w:rsidRDefault="00AA558E" w:rsidP="007327B0">
      <w:pPr>
        <w:pStyle w:val="Paragraphedeliste"/>
        <w:numPr>
          <w:ilvl w:val="0"/>
          <w:numId w:val="9"/>
        </w:numPr>
        <w:jc w:val="both"/>
        <w:rPr>
          <w:b/>
          <w:bCs/>
        </w:rPr>
      </w:pPr>
      <w:r w:rsidRPr="00644EAB">
        <w:rPr>
          <w:b/>
          <w:bCs/>
        </w:rPr>
        <w:t xml:space="preserve">Les étapes du parcours de Validation des Acquis de l’Expérience : </w:t>
      </w:r>
    </w:p>
    <w:p w14:paraId="60C3E981" w14:textId="09615BBA" w:rsidR="00AA558E" w:rsidRPr="000603AA" w:rsidRDefault="00AA558E" w:rsidP="001E4155">
      <w:pPr>
        <w:jc w:val="both"/>
      </w:pPr>
      <w:r w:rsidRPr="000603AA">
        <w:t xml:space="preserve"> La démarche VAE comprend quatre phases : </w:t>
      </w:r>
    </w:p>
    <w:p w14:paraId="2911B4B2" w14:textId="77777777" w:rsidR="007327B0" w:rsidRDefault="007327B0" w:rsidP="007327B0">
      <w:pPr>
        <w:jc w:val="both"/>
      </w:pPr>
      <w:r>
        <w:t xml:space="preserve">1/ </w:t>
      </w:r>
      <w:r w:rsidR="00AA558E" w:rsidRPr="000603AA">
        <w:t xml:space="preserve">L’entretien d’accueil et d’orientation ; </w:t>
      </w:r>
    </w:p>
    <w:p w14:paraId="6B82676C" w14:textId="480F47DE" w:rsidR="007327B0" w:rsidRDefault="007327B0" w:rsidP="007327B0">
      <w:pPr>
        <w:jc w:val="both"/>
      </w:pPr>
      <w:r>
        <w:t xml:space="preserve">2/ </w:t>
      </w:r>
      <w:r w:rsidR="00AA558E" w:rsidRPr="000603AA">
        <w:t xml:space="preserve">L’examen de recevabilité avec la réalisation d’un dossier de recevabilité </w:t>
      </w:r>
      <w:r w:rsidR="00055520">
        <w:t>(livret 1)</w:t>
      </w:r>
      <w:r w:rsidR="00AA558E" w:rsidRPr="000603AA">
        <w:t xml:space="preserve">; </w:t>
      </w:r>
    </w:p>
    <w:p w14:paraId="037201AF" w14:textId="319FD2DE" w:rsidR="007327B0" w:rsidRDefault="007327B0" w:rsidP="007327B0">
      <w:pPr>
        <w:jc w:val="both"/>
      </w:pPr>
      <w:r>
        <w:t xml:space="preserve">3/ </w:t>
      </w:r>
      <w:r w:rsidR="00AA558E" w:rsidRPr="000603AA">
        <w:t xml:space="preserve">La mise en évidence de l’expérience du candidat effectuée au travers d’un dossier de Validation des Acquis de l’Expérience étudié par le jury </w:t>
      </w:r>
      <w:r w:rsidR="00377F6E" w:rsidRPr="000603AA">
        <w:t>de branche</w:t>
      </w:r>
      <w:r w:rsidR="00055520">
        <w:t xml:space="preserve"> (livret 2)</w:t>
      </w:r>
      <w:r w:rsidR="00AA558E" w:rsidRPr="000603AA">
        <w:t xml:space="preserve"> ; </w:t>
      </w:r>
    </w:p>
    <w:p w14:paraId="3E332B66" w14:textId="36D5CB36" w:rsidR="00AA558E" w:rsidRPr="000603AA" w:rsidRDefault="007327B0" w:rsidP="007327B0">
      <w:pPr>
        <w:jc w:val="both"/>
      </w:pPr>
      <w:r>
        <w:t xml:space="preserve">4/ </w:t>
      </w:r>
      <w:r w:rsidR="00AA558E" w:rsidRPr="000603AA">
        <w:t xml:space="preserve">L’évaluation finale du candidat, au travers d’un entretien avec le jury </w:t>
      </w:r>
      <w:r w:rsidR="00055520">
        <w:t xml:space="preserve">de délivrance </w:t>
      </w:r>
      <w:r w:rsidR="00AA558E" w:rsidRPr="000603AA">
        <w:t>permettant d’évaluer les compétences acquises pour l’obtention du CQP et de délivrer tout ou partie de la certification</w:t>
      </w:r>
      <w:r w:rsidR="00055520">
        <w:t>.</w:t>
      </w:r>
    </w:p>
    <w:p w14:paraId="1F268BA9" w14:textId="77777777" w:rsidR="007327B0" w:rsidRDefault="00AA558E" w:rsidP="001E4155">
      <w:pPr>
        <w:jc w:val="both"/>
      </w:pPr>
      <w:r w:rsidRPr="000603AA">
        <w:t xml:space="preserve"> </w:t>
      </w:r>
    </w:p>
    <w:p w14:paraId="5C2B8C74" w14:textId="3584BE1D" w:rsidR="00AA558E" w:rsidRPr="00644EAB" w:rsidRDefault="00AA558E" w:rsidP="007327B0">
      <w:pPr>
        <w:pStyle w:val="Paragraphedeliste"/>
        <w:numPr>
          <w:ilvl w:val="0"/>
          <w:numId w:val="9"/>
        </w:numPr>
        <w:jc w:val="both"/>
        <w:rPr>
          <w:b/>
          <w:bCs/>
        </w:rPr>
      </w:pPr>
      <w:r w:rsidRPr="00644EAB">
        <w:rPr>
          <w:b/>
          <w:bCs/>
        </w:rPr>
        <w:lastRenderedPageBreak/>
        <w:t xml:space="preserve">Réponse de l’organisme souhaitant être </w:t>
      </w:r>
      <w:r w:rsidR="00A76536" w:rsidRPr="00644EAB">
        <w:rPr>
          <w:b/>
          <w:bCs/>
        </w:rPr>
        <w:t>habilité</w:t>
      </w:r>
      <w:r w:rsidRPr="00644EAB">
        <w:rPr>
          <w:b/>
          <w:bCs/>
        </w:rPr>
        <w:t xml:space="preserve"> sur l’accompagnement des parcours CQP par la VAE : </w:t>
      </w:r>
    </w:p>
    <w:p w14:paraId="6DC14438" w14:textId="444897ED" w:rsidR="00AA558E" w:rsidRPr="000603AA" w:rsidRDefault="00AA558E" w:rsidP="001E4155">
      <w:pPr>
        <w:jc w:val="both"/>
      </w:pPr>
      <w:r w:rsidRPr="000603AA">
        <w:t xml:space="preserve">La réponse de l’organisme peut porter sur un ou plusieurs CQP.  </w:t>
      </w:r>
    </w:p>
    <w:p w14:paraId="3521F682" w14:textId="11B5A61E" w:rsidR="00AA558E" w:rsidRPr="000603AA" w:rsidRDefault="00AA558E" w:rsidP="001E4155">
      <w:pPr>
        <w:jc w:val="both"/>
      </w:pPr>
      <w:r w:rsidRPr="000603AA">
        <w:t>Elle comp</w:t>
      </w:r>
      <w:r w:rsidR="007327B0">
        <w:t>o</w:t>
      </w:r>
      <w:r w:rsidRPr="000603AA">
        <w:t xml:space="preserve">rtera deux volets : </w:t>
      </w:r>
    </w:p>
    <w:p w14:paraId="3780BE4A" w14:textId="77777777" w:rsidR="007327B0" w:rsidRDefault="00AA558E" w:rsidP="001E4155">
      <w:pPr>
        <w:pStyle w:val="Paragraphedeliste"/>
        <w:numPr>
          <w:ilvl w:val="0"/>
          <w:numId w:val="14"/>
        </w:numPr>
        <w:jc w:val="both"/>
      </w:pPr>
      <w:r w:rsidRPr="000603AA">
        <w:t>Une présentation des outils et méthodes utilisées à chaque étape de la démarche de certification :</w:t>
      </w:r>
    </w:p>
    <w:p w14:paraId="1809FE9C" w14:textId="77777777" w:rsidR="007327B0" w:rsidRDefault="00AA558E" w:rsidP="001E4155">
      <w:pPr>
        <w:pStyle w:val="Paragraphedeliste"/>
        <w:numPr>
          <w:ilvl w:val="1"/>
          <w:numId w:val="14"/>
        </w:numPr>
        <w:jc w:val="both"/>
      </w:pPr>
      <w:r w:rsidRPr="000603AA">
        <w:t xml:space="preserve"> Entretien d’accueil et d’orientation ; </w:t>
      </w:r>
    </w:p>
    <w:p w14:paraId="73BBB7D5" w14:textId="77777777" w:rsidR="007327B0" w:rsidRDefault="00AA558E" w:rsidP="001E4155">
      <w:pPr>
        <w:pStyle w:val="Paragraphedeliste"/>
        <w:numPr>
          <w:ilvl w:val="1"/>
          <w:numId w:val="14"/>
        </w:numPr>
        <w:jc w:val="both"/>
      </w:pPr>
      <w:r w:rsidRPr="000603AA">
        <w:t xml:space="preserve">Prestation d’accompagnement destinée à aider le candidat à mettre en évidence la nature de son expérience en vue de renforcer ses chances d’obtenir son CQP (accompagnement téléphonique, entretiens en face à face, durée des différents temps d’échange, ...) ; </w:t>
      </w:r>
    </w:p>
    <w:p w14:paraId="7846BCC7" w14:textId="01A6B6B4" w:rsidR="00AA558E" w:rsidRPr="000603AA" w:rsidRDefault="00AA558E" w:rsidP="001E4155">
      <w:pPr>
        <w:pStyle w:val="Paragraphedeliste"/>
        <w:numPr>
          <w:ilvl w:val="1"/>
          <w:numId w:val="14"/>
        </w:numPr>
        <w:jc w:val="both"/>
      </w:pPr>
      <w:r w:rsidRPr="000603AA">
        <w:t xml:space="preserve">Préparation au jury. </w:t>
      </w:r>
    </w:p>
    <w:p w14:paraId="4CC50A7D" w14:textId="77777777" w:rsidR="00AA558E" w:rsidRPr="000603AA" w:rsidRDefault="00AA558E" w:rsidP="001E4155">
      <w:pPr>
        <w:jc w:val="both"/>
      </w:pPr>
      <w:r w:rsidRPr="000603AA">
        <w:t xml:space="preserve"> </w:t>
      </w:r>
    </w:p>
    <w:p w14:paraId="5C6DD0C8" w14:textId="359C2C1D" w:rsidR="00AA558E" w:rsidRPr="000603AA" w:rsidRDefault="00AA558E" w:rsidP="001E4155">
      <w:pPr>
        <w:pStyle w:val="Paragraphedeliste"/>
        <w:numPr>
          <w:ilvl w:val="0"/>
          <w:numId w:val="14"/>
        </w:numPr>
        <w:jc w:val="both"/>
      </w:pPr>
      <w:r w:rsidRPr="000603AA">
        <w:t xml:space="preserve">Une proposition financière détaillée par CQP : </w:t>
      </w:r>
    </w:p>
    <w:p w14:paraId="2A26ADDC" w14:textId="34515C86" w:rsidR="00AA558E" w:rsidRPr="000603AA" w:rsidRDefault="00AA558E" w:rsidP="001E4155">
      <w:pPr>
        <w:jc w:val="both"/>
      </w:pPr>
      <w:r w:rsidRPr="000603AA">
        <w:t xml:space="preserve">Présentation d’une ingénierie financière pour une programmation intra et inter-entreprises (coût par personne/heure) en différenciant : </w:t>
      </w:r>
    </w:p>
    <w:p w14:paraId="014FA16D" w14:textId="77777777" w:rsidR="007327B0" w:rsidRDefault="00AA558E" w:rsidP="001E4155">
      <w:pPr>
        <w:pStyle w:val="Paragraphedeliste"/>
        <w:numPr>
          <w:ilvl w:val="1"/>
          <w:numId w:val="14"/>
        </w:numPr>
        <w:jc w:val="both"/>
      </w:pPr>
      <w:r w:rsidRPr="000603AA">
        <w:t xml:space="preserve">Le coût pédagogique (Accompagnements, préparation au jury, etc.) ; </w:t>
      </w:r>
    </w:p>
    <w:p w14:paraId="28E8AC90" w14:textId="0604CD96" w:rsidR="00AA558E" w:rsidRPr="000603AA" w:rsidRDefault="00AA558E" w:rsidP="001E4155">
      <w:pPr>
        <w:pStyle w:val="Paragraphedeliste"/>
        <w:numPr>
          <w:ilvl w:val="1"/>
          <w:numId w:val="14"/>
        </w:numPr>
        <w:jc w:val="both"/>
      </w:pPr>
      <w:r w:rsidRPr="000603AA">
        <w:t xml:space="preserve">Les </w:t>
      </w:r>
      <w:r w:rsidR="0084587D" w:rsidRPr="000603AA">
        <w:t xml:space="preserve">frais </w:t>
      </w:r>
      <w:r w:rsidRPr="000603AA">
        <w:t xml:space="preserve">annexes (transports, hébergements, restauration, etc.). </w:t>
      </w:r>
    </w:p>
    <w:p w14:paraId="1A016E47" w14:textId="3A53D391" w:rsidR="00AA558E" w:rsidRDefault="00AA558E" w:rsidP="001E4155">
      <w:pPr>
        <w:jc w:val="both"/>
      </w:pPr>
      <w:r w:rsidRPr="000603AA">
        <w:t xml:space="preserve"> </w:t>
      </w:r>
    </w:p>
    <w:p w14:paraId="3CE82C28" w14:textId="77777777" w:rsidR="007327B0" w:rsidRPr="000603AA" w:rsidRDefault="007327B0" w:rsidP="001E4155">
      <w:pPr>
        <w:jc w:val="both"/>
      </w:pPr>
    </w:p>
    <w:p w14:paraId="43F06938" w14:textId="77777777" w:rsidR="00AA558E" w:rsidRPr="00644EAB" w:rsidRDefault="00AA558E" w:rsidP="001E4155">
      <w:pPr>
        <w:jc w:val="both"/>
        <w:rPr>
          <w:b/>
          <w:bCs/>
          <w:color w:val="2F5496" w:themeColor="accent1" w:themeShade="BF"/>
          <w:sz w:val="28"/>
          <w:szCs w:val="28"/>
        </w:rPr>
      </w:pPr>
      <w:r w:rsidRPr="00644EAB">
        <w:rPr>
          <w:b/>
          <w:bCs/>
          <w:color w:val="2F5496" w:themeColor="accent1" w:themeShade="BF"/>
          <w:sz w:val="28"/>
          <w:szCs w:val="28"/>
        </w:rPr>
        <w:t xml:space="preserve">3. Calendrier de la démarche  </w:t>
      </w:r>
    </w:p>
    <w:p w14:paraId="7901517F" w14:textId="77777777" w:rsidR="00AA558E" w:rsidRPr="000603AA" w:rsidRDefault="00AA558E" w:rsidP="001E4155">
      <w:pPr>
        <w:jc w:val="both"/>
      </w:pPr>
      <w:r w:rsidRPr="000603AA">
        <w:t xml:space="preserve"> </w:t>
      </w:r>
    </w:p>
    <w:p w14:paraId="204C81BB" w14:textId="6764F695" w:rsidR="00AA558E" w:rsidRPr="009C1B28" w:rsidRDefault="00AA558E" w:rsidP="001E4155">
      <w:pPr>
        <w:jc w:val="both"/>
        <w:rPr>
          <w:color w:val="2F5496" w:themeColor="accent1" w:themeShade="BF"/>
        </w:rPr>
      </w:pPr>
      <w:r w:rsidRPr="007327B0">
        <w:rPr>
          <w:color w:val="2F5496" w:themeColor="accent1" w:themeShade="BF"/>
        </w:rPr>
        <w:t xml:space="preserve">3.1 Envoi des dossiers de candidature  </w:t>
      </w:r>
    </w:p>
    <w:p w14:paraId="60767501" w14:textId="54FCDA35" w:rsidR="00AA558E" w:rsidRDefault="00AA558E" w:rsidP="001E4155">
      <w:pPr>
        <w:jc w:val="both"/>
      </w:pPr>
      <w:r w:rsidRPr="000603AA">
        <w:t xml:space="preserve">Le dossier de candidature devra  être communiqué impérativement par courrier </w:t>
      </w:r>
      <w:r w:rsidR="007327B0">
        <w:t xml:space="preserve">au </w:t>
      </w:r>
      <w:r w:rsidR="00B46768" w:rsidRPr="000603AA">
        <w:t xml:space="preserve">Secrétariat </w:t>
      </w:r>
      <w:r w:rsidR="007327B0">
        <w:t xml:space="preserve">de la </w:t>
      </w:r>
      <w:r w:rsidR="00B46768" w:rsidRPr="000603AA">
        <w:t>CPNEFP</w:t>
      </w:r>
      <w:r w:rsidR="007327B0">
        <w:t xml:space="preserve">, </w:t>
      </w:r>
      <w:r w:rsidRPr="000603AA">
        <w:t xml:space="preserve">17 avenue Victor Hugo 75016 Paris, et par mail </w:t>
      </w:r>
      <w:r w:rsidR="007327B0">
        <w:t xml:space="preserve">à </w:t>
      </w:r>
      <w:hyperlink r:id="rId7" w:history="1">
        <w:r w:rsidR="007327B0" w:rsidRPr="008925DE">
          <w:rPr>
            <w:rStyle w:val="Lienhypertexte"/>
          </w:rPr>
          <w:t>secretariatcpnefp@anem-mutualite.fr</w:t>
        </w:r>
      </w:hyperlink>
      <w:r w:rsidR="004B3FB8" w:rsidRPr="004B3FB8">
        <w:rPr>
          <w:rStyle w:val="Lienhypertexte"/>
          <w:color w:val="auto"/>
          <w:u w:val="none"/>
        </w:rPr>
        <w:t xml:space="preserve"> ainsi</w:t>
      </w:r>
      <w:r w:rsidR="004B3FB8">
        <w:rPr>
          <w:rStyle w:val="Lienhypertexte"/>
          <w:color w:val="auto"/>
          <w:u w:val="none"/>
        </w:rPr>
        <w:t xml:space="preserve"> qu’à Mélanie HERN</w:t>
      </w:r>
      <w:r w:rsidR="00770498">
        <w:rPr>
          <w:rStyle w:val="Lienhypertexte"/>
          <w:color w:val="auto"/>
          <w:u w:val="none"/>
        </w:rPr>
        <w:t>A</w:t>
      </w:r>
      <w:r w:rsidR="004B3FB8">
        <w:rPr>
          <w:rStyle w:val="Lienhypertexte"/>
          <w:color w:val="auto"/>
          <w:u w:val="none"/>
        </w:rPr>
        <w:t xml:space="preserve">NDO-COLLOMBAT, Conseillère de secteur – Uniformation </w:t>
      </w:r>
      <w:hyperlink r:id="rId8" w:history="1">
        <w:r w:rsidR="004B3FB8" w:rsidRPr="002C2C4C">
          <w:rPr>
            <w:rStyle w:val="Lienhypertexte"/>
          </w:rPr>
          <w:t>mhernando-collombat@uniformation.fr</w:t>
        </w:r>
      </w:hyperlink>
      <w:r w:rsidR="004B3FB8">
        <w:rPr>
          <w:rStyle w:val="Lienhypertexte"/>
          <w:color w:val="auto"/>
          <w:u w:val="none"/>
        </w:rPr>
        <w:t xml:space="preserve"> </w:t>
      </w:r>
    </w:p>
    <w:p w14:paraId="6588148E" w14:textId="77777777" w:rsidR="007327B0" w:rsidRPr="000603AA" w:rsidRDefault="007327B0" w:rsidP="001E4155">
      <w:pPr>
        <w:jc w:val="both"/>
      </w:pPr>
    </w:p>
    <w:p w14:paraId="3B738446" w14:textId="46966422" w:rsidR="00AA558E" w:rsidRPr="00644EAB" w:rsidRDefault="00AA558E" w:rsidP="001E4155">
      <w:pPr>
        <w:jc w:val="both"/>
        <w:rPr>
          <w:color w:val="2F5496" w:themeColor="accent1" w:themeShade="BF"/>
        </w:rPr>
      </w:pPr>
      <w:r w:rsidRPr="00644EAB">
        <w:rPr>
          <w:color w:val="2F5496" w:themeColor="accent1" w:themeShade="BF"/>
        </w:rPr>
        <w:t>3.2 M</w:t>
      </w:r>
      <w:r w:rsidR="007327B0" w:rsidRPr="00644EAB">
        <w:rPr>
          <w:color w:val="2F5496" w:themeColor="accent1" w:themeShade="BF"/>
        </w:rPr>
        <w:t>o</w:t>
      </w:r>
      <w:r w:rsidRPr="00644EAB">
        <w:rPr>
          <w:color w:val="2F5496" w:themeColor="accent1" w:themeShade="BF"/>
        </w:rPr>
        <w:t xml:space="preserve">dalités pratiques </w:t>
      </w:r>
    </w:p>
    <w:p w14:paraId="59A65442" w14:textId="1F4FDAF7" w:rsidR="00AA558E" w:rsidRDefault="007327B0" w:rsidP="001E4155">
      <w:pPr>
        <w:jc w:val="both"/>
      </w:pPr>
      <w:r>
        <w:t xml:space="preserve">Date limite de réception des dossiers </w:t>
      </w:r>
      <w:r w:rsidR="00AA558E" w:rsidRPr="000603AA">
        <w:t xml:space="preserve"> </w:t>
      </w:r>
      <w:r>
        <w:t xml:space="preserve">le </w:t>
      </w:r>
      <w:r w:rsidR="00770498">
        <w:t>18 mai 2021</w:t>
      </w:r>
    </w:p>
    <w:p w14:paraId="200D18F6" w14:textId="03C903B6" w:rsidR="007327B0" w:rsidRDefault="007327B0" w:rsidP="001E4155">
      <w:pPr>
        <w:jc w:val="both"/>
      </w:pPr>
      <w:r>
        <w:t>E</w:t>
      </w:r>
      <w:r w:rsidR="00055520">
        <w:t>ventuelle audition devant le comité de sélection</w:t>
      </w:r>
      <w:r>
        <w:t> :</w:t>
      </w:r>
      <w:r w:rsidR="004B3FB8">
        <w:t xml:space="preserve"> courant </w:t>
      </w:r>
      <w:r w:rsidR="00770498">
        <w:t>juin</w:t>
      </w:r>
      <w:r w:rsidR="004B3FB8">
        <w:t xml:space="preserve"> 2021</w:t>
      </w:r>
    </w:p>
    <w:p w14:paraId="19B0C5F4" w14:textId="2B72C203" w:rsidR="007327B0" w:rsidRPr="000603AA" w:rsidRDefault="007327B0" w:rsidP="001E4155">
      <w:pPr>
        <w:jc w:val="both"/>
      </w:pPr>
      <w:r>
        <w:t xml:space="preserve">Décision d’habilitation : </w:t>
      </w:r>
      <w:r w:rsidR="004B3FB8">
        <w:t xml:space="preserve">Réunion de la CPNEFP le </w:t>
      </w:r>
      <w:r w:rsidR="00770498">
        <w:t>28 juin</w:t>
      </w:r>
      <w:r w:rsidR="004B3FB8">
        <w:t xml:space="preserve"> 2021</w:t>
      </w:r>
    </w:p>
    <w:p w14:paraId="317439EE" w14:textId="3FFFD75E" w:rsidR="00AA558E" w:rsidRPr="000603AA" w:rsidRDefault="00AA558E" w:rsidP="001E4155">
      <w:pPr>
        <w:jc w:val="both"/>
      </w:pPr>
    </w:p>
    <w:p w14:paraId="52DF3447" w14:textId="690CEB57" w:rsidR="00AA558E" w:rsidRPr="00644EAB" w:rsidRDefault="00AA558E" w:rsidP="001E4155">
      <w:pPr>
        <w:jc w:val="both"/>
        <w:rPr>
          <w:color w:val="2F5496" w:themeColor="accent1" w:themeShade="BF"/>
        </w:rPr>
      </w:pPr>
      <w:r w:rsidRPr="00644EAB">
        <w:rPr>
          <w:color w:val="2F5496" w:themeColor="accent1" w:themeShade="BF"/>
        </w:rPr>
        <w:t xml:space="preserve"> </w:t>
      </w:r>
      <w:r w:rsidR="007327B0" w:rsidRPr="00644EAB">
        <w:rPr>
          <w:color w:val="2F5496" w:themeColor="accent1" w:themeShade="BF"/>
        </w:rPr>
        <w:t xml:space="preserve">3.3 </w:t>
      </w:r>
      <w:r w:rsidR="0084587D" w:rsidRPr="00644EAB">
        <w:rPr>
          <w:color w:val="2F5496" w:themeColor="accent1" w:themeShade="BF"/>
        </w:rPr>
        <w:t>Critères de sélection</w:t>
      </w:r>
    </w:p>
    <w:p w14:paraId="33422C59" w14:textId="60BB9442" w:rsidR="007327B0" w:rsidRDefault="009A1657" w:rsidP="00644EAB">
      <w:pPr>
        <w:pStyle w:val="Paragraphedeliste"/>
        <w:numPr>
          <w:ilvl w:val="0"/>
          <w:numId w:val="21"/>
        </w:numPr>
        <w:jc w:val="both"/>
      </w:pPr>
      <w:r w:rsidRPr="000603AA">
        <w:t>Complétude de la répons</w:t>
      </w:r>
      <w:r w:rsidR="007327B0">
        <w:t>e ;</w:t>
      </w:r>
    </w:p>
    <w:p w14:paraId="72239C15" w14:textId="2EBD1874" w:rsidR="007327B0" w:rsidRDefault="009A1657" w:rsidP="00644EAB">
      <w:pPr>
        <w:pStyle w:val="Paragraphedeliste"/>
        <w:numPr>
          <w:ilvl w:val="0"/>
          <w:numId w:val="21"/>
        </w:numPr>
        <w:jc w:val="both"/>
      </w:pPr>
      <w:r w:rsidRPr="000603AA">
        <w:lastRenderedPageBreak/>
        <w:t>Connaissance de l’environnement mutualiste</w:t>
      </w:r>
      <w:r w:rsidR="007327B0">
        <w:t> ;</w:t>
      </w:r>
    </w:p>
    <w:p w14:paraId="7F8E4667" w14:textId="3137B413" w:rsidR="007327B0" w:rsidRDefault="009A1657" w:rsidP="00644EAB">
      <w:pPr>
        <w:pStyle w:val="Paragraphedeliste"/>
        <w:numPr>
          <w:ilvl w:val="0"/>
          <w:numId w:val="22"/>
        </w:numPr>
        <w:jc w:val="both"/>
      </w:pPr>
      <w:r w:rsidRPr="000603AA">
        <w:t>Connaissance des métier</w:t>
      </w:r>
      <w:r w:rsidR="007327B0">
        <w:t>s visés par les CQP ;</w:t>
      </w:r>
    </w:p>
    <w:p w14:paraId="366835B0" w14:textId="7E24F133" w:rsidR="007327B0" w:rsidRDefault="009A1657" w:rsidP="00644EAB">
      <w:pPr>
        <w:pStyle w:val="Paragraphedeliste"/>
        <w:numPr>
          <w:ilvl w:val="0"/>
          <w:numId w:val="22"/>
        </w:numPr>
        <w:jc w:val="both"/>
      </w:pPr>
      <w:r w:rsidRPr="000603AA">
        <w:t>Qualité du référentiel de formation</w:t>
      </w:r>
      <w:r w:rsidR="007327B0">
        <w:t> ;</w:t>
      </w:r>
    </w:p>
    <w:p w14:paraId="163FD9AE" w14:textId="21142E83" w:rsidR="007327B0" w:rsidRDefault="007327B0" w:rsidP="00644EAB">
      <w:pPr>
        <w:pStyle w:val="Paragraphedeliste"/>
        <w:numPr>
          <w:ilvl w:val="0"/>
          <w:numId w:val="22"/>
        </w:numPr>
        <w:jc w:val="both"/>
      </w:pPr>
      <w:r>
        <w:t>Capacité à individualiser les parcours ;</w:t>
      </w:r>
    </w:p>
    <w:p w14:paraId="6BF016BF" w14:textId="7525E6BB" w:rsidR="007327B0" w:rsidRDefault="007327B0" w:rsidP="00644EAB">
      <w:pPr>
        <w:pStyle w:val="Paragraphedeliste"/>
        <w:numPr>
          <w:ilvl w:val="0"/>
          <w:numId w:val="22"/>
        </w:numPr>
        <w:jc w:val="both"/>
      </w:pPr>
      <w:r>
        <w:t>Capacité à adapter les modalités pédagogiques (présentiel, distance) ;</w:t>
      </w:r>
    </w:p>
    <w:p w14:paraId="2DBD8331" w14:textId="77777777" w:rsidR="007327B0" w:rsidRDefault="007327B0" w:rsidP="00644EAB">
      <w:pPr>
        <w:pStyle w:val="Paragraphedeliste"/>
        <w:numPr>
          <w:ilvl w:val="0"/>
          <w:numId w:val="23"/>
        </w:numPr>
        <w:jc w:val="both"/>
      </w:pPr>
      <w:r w:rsidRPr="000603AA">
        <w:t>Valorisation des accompagnements des CQP de la branche ou d’expériences similaires</w:t>
      </w:r>
      <w:r>
        <w:t> ;</w:t>
      </w:r>
    </w:p>
    <w:p w14:paraId="005797A3" w14:textId="4A118586" w:rsidR="009A1657" w:rsidRPr="000603AA" w:rsidRDefault="009A1657" w:rsidP="00644EAB">
      <w:pPr>
        <w:pStyle w:val="Paragraphedeliste"/>
        <w:numPr>
          <w:ilvl w:val="0"/>
          <w:numId w:val="23"/>
        </w:numPr>
        <w:jc w:val="both"/>
      </w:pPr>
      <w:r w:rsidRPr="000603AA">
        <w:t>Coûts des prestations</w:t>
      </w:r>
      <w:r w:rsidR="007327B0">
        <w:t>.</w:t>
      </w:r>
    </w:p>
    <w:p w14:paraId="64A7B3D6" w14:textId="5914ABDB" w:rsidR="00AA558E" w:rsidRDefault="00AA558E" w:rsidP="001E4155">
      <w:pPr>
        <w:jc w:val="both"/>
      </w:pPr>
    </w:p>
    <w:p w14:paraId="0CC0E66B" w14:textId="27F9FD23" w:rsidR="00AA558E" w:rsidRPr="00644EAB" w:rsidRDefault="00AA558E" w:rsidP="001E4155">
      <w:pPr>
        <w:jc w:val="both"/>
        <w:rPr>
          <w:color w:val="2F5496" w:themeColor="accent1" w:themeShade="BF"/>
        </w:rPr>
      </w:pPr>
      <w:r w:rsidRPr="00644EAB">
        <w:rPr>
          <w:color w:val="2F5496" w:themeColor="accent1" w:themeShade="BF"/>
        </w:rPr>
        <w:t>3.</w:t>
      </w:r>
      <w:r w:rsidR="009C1B28" w:rsidRPr="00644EAB">
        <w:rPr>
          <w:color w:val="2F5496" w:themeColor="accent1" w:themeShade="BF"/>
        </w:rPr>
        <w:t>4</w:t>
      </w:r>
      <w:r w:rsidRPr="00644EAB">
        <w:rPr>
          <w:color w:val="2F5496" w:themeColor="accent1" w:themeShade="BF"/>
        </w:rPr>
        <w:t xml:space="preserve"> Renseignements complémentaires </w:t>
      </w:r>
    </w:p>
    <w:p w14:paraId="0BDD9703" w14:textId="5E94050A" w:rsidR="00AA558E" w:rsidRDefault="00AA558E" w:rsidP="001E4155">
      <w:pPr>
        <w:jc w:val="both"/>
        <w:rPr>
          <w:rStyle w:val="Lienhypertexte"/>
        </w:rPr>
      </w:pPr>
      <w:r w:rsidRPr="000603AA">
        <w:t xml:space="preserve">Tous renseignements complémentaires peuvent être obtenus auprès de : </w:t>
      </w:r>
      <w:hyperlink r:id="rId9" w:history="1">
        <w:r w:rsidR="009C1B28" w:rsidRPr="008925DE">
          <w:rPr>
            <w:rStyle w:val="Lienhypertexte"/>
          </w:rPr>
          <w:t>secretariatcpnefp@anem-mutualite.fr</w:t>
        </w:r>
      </w:hyperlink>
    </w:p>
    <w:p w14:paraId="3495D08F" w14:textId="77777777" w:rsidR="00644EAB" w:rsidRPr="000603AA" w:rsidRDefault="00644EAB" w:rsidP="001E4155">
      <w:pPr>
        <w:jc w:val="both"/>
      </w:pPr>
    </w:p>
    <w:p w14:paraId="73EA3605" w14:textId="508E3077" w:rsidR="00AA558E" w:rsidRPr="00644EAB" w:rsidRDefault="00AA558E" w:rsidP="001E4155">
      <w:pPr>
        <w:jc w:val="both"/>
        <w:rPr>
          <w:color w:val="2F5496" w:themeColor="accent1" w:themeShade="BF"/>
        </w:rPr>
      </w:pPr>
      <w:r w:rsidRPr="00644EAB">
        <w:rPr>
          <w:color w:val="2F5496" w:themeColor="accent1" w:themeShade="BF"/>
        </w:rPr>
        <w:t>3.</w:t>
      </w:r>
      <w:r w:rsidR="009C1B28" w:rsidRPr="00644EAB">
        <w:rPr>
          <w:color w:val="2F5496" w:themeColor="accent1" w:themeShade="BF"/>
        </w:rPr>
        <w:t>5</w:t>
      </w:r>
      <w:r w:rsidRPr="00644EAB">
        <w:rPr>
          <w:color w:val="2F5496" w:themeColor="accent1" w:themeShade="BF"/>
        </w:rPr>
        <w:t xml:space="preserve"> Décision d</w:t>
      </w:r>
      <w:r w:rsidR="00B46768" w:rsidRPr="00644EAB">
        <w:rPr>
          <w:color w:val="2F5496" w:themeColor="accent1" w:themeShade="BF"/>
        </w:rPr>
        <w:t>’habilitation</w:t>
      </w:r>
    </w:p>
    <w:p w14:paraId="2D85D7A3" w14:textId="0A79BBC7" w:rsidR="00AA558E" w:rsidRPr="000603AA" w:rsidRDefault="00AA558E" w:rsidP="001E4155">
      <w:pPr>
        <w:jc w:val="both"/>
      </w:pPr>
      <w:r w:rsidRPr="000603AA">
        <w:t xml:space="preserve">Les résultats des décisions d’acceptation ou de rejet par la Commission Paritaire Nationale de l’Emploi et de la Formation Professionnelle de la Mutualité vous seront transmis par son secrétariat. </w:t>
      </w:r>
    </w:p>
    <w:p w14:paraId="02AE5ADD" w14:textId="13BD1DA4" w:rsidR="00AA558E" w:rsidRPr="000603AA" w:rsidRDefault="00AA558E" w:rsidP="001E4155">
      <w:pPr>
        <w:jc w:val="both"/>
      </w:pPr>
      <w:r w:rsidRPr="000603AA">
        <w:t>L</w:t>
      </w:r>
      <w:r w:rsidR="00B46768" w:rsidRPr="000603AA">
        <w:t>’habilitation</w:t>
      </w:r>
      <w:r w:rsidRPr="000603AA">
        <w:t xml:space="preserve"> pour les organismes retenus sera délivrée pour une période de trois ans. </w:t>
      </w:r>
    </w:p>
    <w:p w14:paraId="71311487" w14:textId="03B274F5" w:rsidR="0084587D" w:rsidRDefault="0084587D" w:rsidP="001E4155">
      <w:pPr>
        <w:jc w:val="both"/>
      </w:pPr>
      <w:r w:rsidRPr="000603AA">
        <w:t xml:space="preserve">L’habilitation pourra faire l’objet, après présentation d’un bilan des actions menées, et sur avis de la CPNEFP, d’une reconduction pour atteindre une durée maximale de 5 ans, afin de couvrir la durée totale de référencement </w:t>
      </w:r>
      <w:r w:rsidR="009A1657" w:rsidRPr="000603AA">
        <w:t xml:space="preserve">possible </w:t>
      </w:r>
      <w:r w:rsidRPr="000603AA">
        <w:t>au RNCP délivré par France Compétences.</w:t>
      </w:r>
    </w:p>
    <w:p w14:paraId="1D4C8FA5" w14:textId="77777777" w:rsidR="00AA558E" w:rsidRDefault="00AA558E" w:rsidP="001E4155">
      <w:pPr>
        <w:jc w:val="both"/>
      </w:pPr>
    </w:p>
    <w:sectPr w:rsidR="00AA55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718DA" w14:textId="77777777" w:rsidR="00195E7C" w:rsidRDefault="00195E7C" w:rsidP="007327B0">
      <w:pPr>
        <w:spacing w:after="0" w:line="240" w:lineRule="auto"/>
      </w:pPr>
      <w:r>
        <w:separator/>
      </w:r>
    </w:p>
  </w:endnote>
  <w:endnote w:type="continuationSeparator" w:id="0">
    <w:p w14:paraId="78E317C3" w14:textId="77777777" w:rsidR="00195E7C" w:rsidRDefault="00195E7C" w:rsidP="0073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856233"/>
      <w:docPartObj>
        <w:docPartGallery w:val="Page Numbers (Bottom of Page)"/>
        <w:docPartUnique/>
      </w:docPartObj>
    </w:sdtPr>
    <w:sdtEndPr/>
    <w:sdtContent>
      <w:p w14:paraId="4B4DBB26" w14:textId="6F4A7EF7" w:rsidR="00A27648" w:rsidRPr="00B86452" w:rsidRDefault="00A27648" w:rsidP="00A27648">
        <w:pPr>
          <w:pStyle w:val="Pieddepage"/>
          <w:pBdr>
            <w:top w:val="single" w:sz="4" w:space="1" w:color="auto"/>
          </w:pBdr>
          <w:tabs>
            <w:tab w:val="clear" w:pos="9072"/>
            <w:tab w:val="right" w:pos="9498"/>
          </w:tabs>
          <w:rPr>
            <w:sz w:val="20"/>
          </w:rPr>
        </w:pPr>
        <w:r w:rsidRPr="00B86452">
          <w:rPr>
            <w:b/>
            <w:color w:val="323E4F" w:themeColor="text2" w:themeShade="BF"/>
          </w:rPr>
          <w:t>Uniformation</w:t>
        </w:r>
        <w:r>
          <w:rPr>
            <w:b/>
            <w:color w:val="323E4F" w:themeColor="text2" w:themeShade="BF"/>
          </w:rPr>
          <w:t xml:space="preserve"> </w:t>
        </w:r>
        <w:r>
          <w:rPr>
            <w:smallCaps/>
            <w:sz w:val="20"/>
          </w:rPr>
          <w:t>- L’</w:t>
        </w:r>
        <w:proofErr w:type="spellStart"/>
        <w:r>
          <w:rPr>
            <w:smallCaps/>
            <w:sz w:val="20"/>
          </w:rPr>
          <w:t>Opco</w:t>
        </w:r>
        <w:proofErr w:type="spellEnd"/>
        <w:r>
          <w:rPr>
            <w:smallCaps/>
            <w:sz w:val="20"/>
          </w:rPr>
          <w:t xml:space="preserve"> de la </w:t>
        </w:r>
        <w:proofErr w:type="spellStart"/>
        <w:r>
          <w:rPr>
            <w:smallCaps/>
            <w:sz w:val="20"/>
          </w:rPr>
          <w:t>coh</w:t>
        </w:r>
        <w:r>
          <w:rPr>
            <w:smallCaps/>
            <w:sz w:val="16"/>
          </w:rPr>
          <w:t>É</w:t>
        </w:r>
        <w:r>
          <w:rPr>
            <w:smallCaps/>
            <w:sz w:val="20"/>
          </w:rPr>
          <w:t>sion</w:t>
        </w:r>
        <w:proofErr w:type="spellEnd"/>
        <w:r>
          <w:rPr>
            <w:smallCaps/>
            <w:sz w:val="20"/>
          </w:rPr>
          <w:t xml:space="preserve"> sociale</w:t>
        </w:r>
        <w:r w:rsidRPr="00B86452">
          <w:rPr>
            <w:smallCaps/>
            <w:sz w:val="20"/>
          </w:rPr>
          <w:tab/>
        </w:r>
        <w:r w:rsidRPr="00B86452">
          <w:rPr>
            <w:smallCaps/>
            <w:sz w:val="20"/>
          </w:rPr>
          <w:tab/>
        </w:r>
        <w:r>
          <w:rPr>
            <w:smallCaps/>
            <w:sz w:val="20"/>
          </w:rPr>
          <w:t>cahier des charges - appel d’offres CQP- Mutualité 2021</w:t>
        </w:r>
      </w:p>
      <w:p w14:paraId="6E3F258B" w14:textId="47EFF5EE" w:rsidR="007327B0" w:rsidRDefault="00A27648" w:rsidP="00A27648">
        <w:pPr>
          <w:pStyle w:val="Pieddepage"/>
          <w:tabs>
            <w:tab w:val="clear" w:pos="9072"/>
            <w:tab w:val="right" w:pos="9498"/>
          </w:tabs>
        </w:pPr>
        <w:r w:rsidRPr="00B86452">
          <w:tab/>
        </w:r>
        <w:r w:rsidRPr="00B86452">
          <w:tab/>
        </w:r>
        <w:r w:rsidRPr="00B86452">
          <w:rPr>
            <w:smallCaps/>
            <w:sz w:val="20"/>
          </w:rPr>
          <w:t xml:space="preserve"> - </w:t>
        </w:r>
        <w:r w:rsidRPr="00B86452">
          <w:rPr>
            <w:sz w:val="20"/>
          </w:rPr>
          <w:t xml:space="preserve">Page </w:t>
        </w:r>
        <w:r w:rsidRPr="00B86452">
          <w:rPr>
            <w:b/>
            <w:sz w:val="20"/>
          </w:rPr>
          <w:fldChar w:fldCharType="begin"/>
        </w:r>
        <w:r w:rsidRPr="00B86452">
          <w:rPr>
            <w:b/>
            <w:sz w:val="20"/>
          </w:rPr>
          <w:instrText>PAGE  \* Arabic  \* MERGEFORMAT</w:instrText>
        </w:r>
        <w:r w:rsidRPr="00B86452">
          <w:rPr>
            <w:b/>
            <w:sz w:val="20"/>
          </w:rPr>
          <w:fldChar w:fldCharType="separate"/>
        </w:r>
        <w:r>
          <w:rPr>
            <w:b/>
            <w:sz w:val="20"/>
          </w:rPr>
          <w:t>1</w:t>
        </w:r>
        <w:r w:rsidRPr="00B86452">
          <w:rPr>
            <w:b/>
            <w:sz w:val="20"/>
          </w:rPr>
          <w:fldChar w:fldCharType="end"/>
        </w:r>
        <w:r w:rsidRPr="00B86452">
          <w:rPr>
            <w:sz w:val="20"/>
          </w:rPr>
          <w:t xml:space="preserve"> / </w:t>
        </w:r>
        <w:r w:rsidRPr="00B86452">
          <w:rPr>
            <w:b/>
            <w:sz w:val="20"/>
          </w:rPr>
          <w:fldChar w:fldCharType="begin"/>
        </w:r>
        <w:r w:rsidRPr="00B86452">
          <w:rPr>
            <w:b/>
            <w:sz w:val="20"/>
          </w:rPr>
          <w:instrText>NUMPAGES  \* Arabic  \* MERGEFORMAT</w:instrText>
        </w:r>
        <w:r w:rsidRPr="00B86452">
          <w:rPr>
            <w:b/>
            <w:sz w:val="20"/>
          </w:rPr>
          <w:fldChar w:fldCharType="separate"/>
        </w:r>
        <w:r>
          <w:rPr>
            <w:b/>
            <w:sz w:val="20"/>
          </w:rPr>
          <w:t>33</w:t>
        </w:r>
        <w:r w:rsidRPr="00B86452">
          <w:rPr>
            <w:b/>
            <w:sz w:val="20"/>
          </w:rPr>
          <w:fldChar w:fldCharType="end"/>
        </w:r>
      </w:p>
    </w:sdtContent>
  </w:sdt>
  <w:p w14:paraId="61588E87" w14:textId="77777777" w:rsidR="007327B0" w:rsidRDefault="007327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EDDD2" w14:textId="77777777" w:rsidR="00195E7C" w:rsidRDefault="00195E7C" w:rsidP="007327B0">
      <w:pPr>
        <w:spacing w:after="0" w:line="240" w:lineRule="auto"/>
      </w:pPr>
      <w:r>
        <w:separator/>
      </w:r>
    </w:p>
  </w:footnote>
  <w:footnote w:type="continuationSeparator" w:id="0">
    <w:p w14:paraId="704136D0" w14:textId="77777777" w:rsidR="00195E7C" w:rsidRDefault="00195E7C" w:rsidP="0073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FC6C" w14:textId="32E0F5C1" w:rsidR="00A27648" w:rsidRDefault="00A27648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B40C90C" wp14:editId="2E561AB7">
              <wp:simplePos x="0" y="0"/>
              <wp:positionH relativeFrom="column">
                <wp:posOffset>-831850</wp:posOffset>
              </wp:positionH>
              <wp:positionV relativeFrom="paragraph">
                <wp:posOffset>380365</wp:posOffset>
              </wp:positionV>
              <wp:extent cx="7486650" cy="654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9EF2C" id="Rectangle 2" o:spid="_x0000_s1026" style="position:absolute;margin-left:-65.5pt;margin-top:29.95pt;width:589.5pt;height: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" fillcolor="#f6f8fc [180]" stroked="f" strokeweight="1pt">
              <v:fill color2="#002060" angle="90" colors="0 #f6f8fc;10486f #f6f8fc" focus="100%" type="gradient">
                <o:fill v:ext="view" type="gradientUnscaled"/>
              </v:fill>
            </v:rect>
          </w:pict>
        </mc:Fallback>
      </mc:AlternateContent>
    </w:r>
    <w:r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60800" behindDoc="1" locked="0" layoutInCell="1" allowOverlap="1" wp14:anchorId="7B4AB0B8" wp14:editId="6A5E78EC">
          <wp:simplePos x="0" y="0"/>
          <wp:positionH relativeFrom="column">
            <wp:posOffset>-292100</wp:posOffset>
          </wp:positionH>
          <wp:positionV relativeFrom="paragraph">
            <wp:posOffset>-318135</wp:posOffset>
          </wp:positionV>
          <wp:extent cx="2495550" cy="777875"/>
          <wp:effectExtent l="0" t="0" r="0" b="3175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1DB1"/>
    <w:multiLevelType w:val="hybridMultilevel"/>
    <w:tmpl w:val="A12490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EC223D"/>
    <w:multiLevelType w:val="hybridMultilevel"/>
    <w:tmpl w:val="20AEF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7589"/>
    <w:multiLevelType w:val="hybridMultilevel"/>
    <w:tmpl w:val="C5D28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391F"/>
    <w:multiLevelType w:val="hybridMultilevel"/>
    <w:tmpl w:val="2A00B97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36155"/>
    <w:multiLevelType w:val="hybridMultilevel"/>
    <w:tmpl w:val="6E44C1E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1004A1"/>
    <w:multiLevelType w:val="hybridMultilevel"/>
    <w:tmpl w:val="655AA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E038D"/>
    <w:multiLevelType w:val="hybridMultilevel"/>
    <w:tmpl w:val="AE5CA1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B2B5A"/>
    <w:multiLevelType w:val="hybridMultilevel"/>
    <w:tmpl w:val="AC3287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1EA"/>
    <w:multiLevelType w:val="hybridMultilevel"/>
    <w:tmpl w:val="4CFCF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97E09"/>
    <w:multiLevelType w:val="hybridMultilevel"/>
    <w:tmpl w:val="BD74BD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256FF"/>
    <w:multiLevelType w:val="hybridMultilevel"/>
    <w:tmpl w:val="70DAEF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07F6B"/>
    <w:multiLevelType w:val="hybridMultilevel"/>
    <w:tmpl w:val="D20C9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229BD"/>
    <w:multiLevelType w:val="hybridMultilevel"/>
    <w:tmpl w:val="D6308E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AE1"/>
    <w:multiLevelType w:val="hybridMultilevel"/>
    <w:tmpl w:val="F516DAB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8499E"/>
    <w:multiLevelType w:val="hybridMultilevel"/>
    <w:tmpl w:val="D12E8A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BC5370"/>
    <w:multiLevelType w:val="hybridMultilevel"/>
    <w:tmpl w:val="7340C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CBE"/>
    <w:multiLevelType w:val="hybridMultilevel"/>
    <w:tmpl w:val="CAA0D63A"/>
    <w:lvl w:ilvl="0" w:tplc="099C18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85934"/>
    <w:multiLevelType w:val="hybridMultilevel"/>
    <w:tmpl w:val="F24E5F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664D"/>
    <w:multiLevelType w:val="hybridMultilevel"/>
    <w:tmpl w:val="4BD49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F7C4B"/>
    <w:multiLevelType w:val="hybridMultilevel"/>
    <w:tmpl w:val="517467BE"/>
    <w:lvl w:ilvl="0" w:tplc="5978E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7075D"/>
    <w:multiLevelType w:val="hybridMultilevel"/>
    <w:tmpl w:val="480C5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67F61"/>
    <w:multiLevelType w:val="hybridMultilevel"/>
    <w:tmpl w:val="EE96B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6"/>
  </w:num>
  <w:num w:numId="5">
    <w:abstractNumId w:val="13"/>
  </w:num>
  <w:num w:numId="6">
    <w:abstractNumId w:val="15"/>
  </w:num>
  <w:num w:numId="7">
    <w:abstractNumId w:val="22"/>
  </w:num>
  <w:num w:numId="8">
    <w:abstractNumId w:val="8"/>
  </w:num>
  <w:num w:numId="9">
    <w:abstractNumId w:val="21"/>
  </w:num>
  <w:num w:numId="10">
    <w:abstractNumId w:val="19"/>
  </w:num>
  <w:num w:numId="11">
    <w:abstractNumId w:val="12"/>
  </w:num>
  <w:num w:numId="12">
    <w:abstractNumId w:val="5"/>
  </w:num>
  <w:num w:numId="13">
    <w:abstractNumId w:val="6"/>
  </w:num>
  <w:num w:numId="14">
    <w:abstractNumId w:val="11"/>
  </w:num>
  <w:num w:numId="15">
    <w:abstractNumId w:val="10"/>
  </w:num>
  <w:num w:numId="16">
    <w:abstractNumId w:val="0"/>
  </w:num>
  <w:num w:numId="17">
    <w:abstractNumId w:val="7"/>
  </w:num>
  <w:num w:numId="18">
    <w:abstractNumId w:val="2"/>
  </w:num>
  <w:num w:numId="19">
    <w:abstractNumId w:val="1"/>
  </w:num>
  <w:num w:numId="20">
    <w:abstractNumId w:val="3"/>
  </w:num>
  <w:num w:numId="21">
    <w:abstractNumId w:val="17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8E"/>
    <w:rsid w:val="00055520"/>
    <w:rsid w:val="000603AA"/>
    <w:rsid w:val="001316A1"/>
    <w:rsid w:val="00195E7C"/>
    <w:rsid w:val="001E4155"/>
    <w:rsid w:val="002261B3"/>
    <w:rsid w:val="0025464C"/>
    <w:rsid w:val="002E78A8"/>
    <w:rsid w:val="00347390"/>
    <w:rsid w:val="0035205A"/>
    <w:rsid w:val="00377F6E"/>
    <w:rsid w:val="003A0A19"/>
    <w:rsid w:val="00413369"/>
    <w:rsid w:val="00484DA7"/>
    <w:rsid w:val="004B3FB8"/>
    <w:rsid w:val="004C09F4"/>
    <w:rsid w:val="00612B25"/>
    <w:rsid w:val="00644EAB"/>
    <w:rsid w:val="006E2EEC"/>
    <w:rsid w:val="007327B0"/>
    <w:rsid w:val="00770498"/>
    <w:rsid w:val="007C62E3"/>
    <w:rsid w:val="0084587D"/>
    <w:rsid w:val="008C2ADE"/>
    <w:rsid w:val="009A1657"/>
    <w:rsid w:val="009B36F3"/>
    <w:rsid w:val="009C1B28"/>
    <w:rsid w:val="009C75B4"/>
    <w:rsid w:val="00A27648"/>
    <w:rsid w:val="00A76536"/>
    <w:rsid w:val="00A76E8C"/>
    <w:rsid w:val="00AA558E"/>
    <w:rsid w:val="00B34089"/>
    <w:rsid w:val="00B46768"/>
    <w:rsid w:val="00B47E42"/>
    <w:rsid w:val="00BB74D1"/>
    <w:rsid w:val="00C168E6"/>
    <w:rsid w:val="00C37891"/>
    <w:rsid w:val="00D56A72"/>
    <w:rsid w:val="00F2098F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DAF7F"/>
  <w15:docId w15:val="{B1CF3218-A6A9-4F8C-86D3-1E1655FC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B2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612B2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520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0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0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0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05A"/>
    <w:rPr>
      <w:b/>
      <w:bCs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rsid w:val="00347390"/>
  </w:style>
  <w:style w:type="paragraph" w:styleId="En-tte">
    <w:name w:val="header"/>
    <w:basedOn w:val="Normal"/>
    <w:link w:val="En-tteCar"/>
    <w:uiPriority w:val="99"/>
    <w:unhideWhenUsed/>
    <w:rsid w:val="0073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7B0"/>
  </w:style>
  <w:style w:type="paragraph" w:styleId="Pieddepage">
    <w:name w:val="footer"/>
    <w:basedOn w:val="Normal"/>
    <w:link w:val="PieddepageCar"/>
    <w:uiPriority w:val="99"/>
    <w:unhideWhenUsed/>
    <w:rsid w:val="0073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7B0"/>
  </w:style>
  <w:style w:type="character" w:styleId="Lienhypertexte">
    <w:name w:val="Hyperlink"/>
    <w:basedOn w:val="Policepardfaut"/>
    <w:uiPriority w:val="99"/>
    <w:unhideWhenUsed/>
    <w:rsid w:val="007327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rnando-collombat@uniformatio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cpnefp@anem-mutualit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cpnefp@anem-mutuali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2532</Words>
  <Characters>14510</Characters>
  <Application>Microsoft Office Word</Application>
  <DocSecurity>0</DocSecurity>
  <Lines>284</Lines>
  <Paragraphs>160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BOUTET</dc:creator>
  <cp:lastModifiedBy>Le Moign Yveline</cp:lastModifiedBy>
  <cp:revision>3</cp:revision>
  <cp:lastPrinted>2020-10-12T09:18:00Z</cp:lastPrinted>
  <dcterms:created xsi:type="dcterms:W3CDTF">2021-04-12T13:51:00Z</dcterms:created>
  <dcterms:modified xsi:type="dcterms:W3CDTF">2021-04-12T13:53:00Z</dcterms:modified>
</cp:coreProperties>
</file>